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5934" w14:textId="366009E9" w:rsidR="00AF2B8D" w:rsidRPr="00AF2B8D" w:rsidRDefault="00B46C57" w:rsidP="00470AD4">
      <w:pPr>
        <w:pBdr>
          <w:top w:val="nil"/>
          <w:left w:val="nil"/>
          <w:bottom w:val="nil"/>
          <w:right w:val="nil"/>
          <w:between w:val="nil"/>
        </w:pBdr>
        <w:spacing w:after="200" w:line="276" w:lineRule="auto"/>
        <w:rPr>
          <w:rFonts w:eastAsia="Calibri" w:cs="Arial"/>
          <w:b/>
          <w:color w:val="000000"/>
          <w:sz w:val="28"/>
          <w:szCs w:val="28"/>
        </w:rPr>
      </w:pPr>
      <w:r>
        <w:rPr>
          <w:rFonts w:eastAsia="Calibri" w:cs="Arial"/>
          <w:b/>
          <w:color w:val="000000"/>
          <w:sz w:val="28"/>
          <w:szCs w:val="28"/>
        </w:rPr>
        <w:t xml:space="preserve">    </w:t>
      </w:r>
      <w:r w:rsidR="00470AD4">
        <w:rPr>
          <w:rFonts w:eastAsia="Calibri" w:cs="Arial"/>
          <w:b/>
          <w:color w:val="000000"/>
          <w:sz w:val="28"/>
          <w:szCs w:val="28"/>
        </w:rPr>
        <w:tab/>
      </w:r>
      <w:r w:rsidR="00470AD4">
        <w:rPr>
          <w:rFonts w:eastAsia="Calibri" w:cs="Arial"/>
          <w:b/>
          <w:color w:val="000000"/>
          <w:sz w:val="28"/>
          <w:szCs w:val="28"/>
        </w:rPr>
        <w:tab/>
      </w:r>
      <w:r w:rsidR="00470AD4">
        <w:rPr>
          <w:rFonts w:eastAsia="Calibri" w:cs="Arial"/>
          <w:b/>
          <w:color w:val="000000"/>
          <w:sz w:val="28"/>
          <w:szCs w:val="28"/>
        </w:rPr>
        <w:tab/>
        <w:t xml:space="preserve">    </w:t>
      </w:r>
    </w:p>
    <w:p w14:paraId="78A6D084" w14:textId="77777777" w:rsidR="00AF2B8D" w:rsidRPr="00AF2B8D" w:rsidRDefault="00AF2B8D" w:rsidP="00AF2B8D">
      <w:pPr>
        <w:pBdr>
          <w:top w:val="nil"/>
          <w:left w:val="nil"/>
          <w:bottom w:val="nil"/>
          <w:right w:val="nil"/>
          <w:between w:val="nil"/>
        </w:pBdr>
        <w:spacing w:after="200" w:line="276" w:lineRule="auto"/>
        <w:jc w:val="center"/>
        <w:rPr>
          <w:rFonts w:eastAsia="Calibri" w:cs="Arial"/>
          <w:color w:val="000000"/>
          <w:sz w:val="28"/>
          <w:szCs w:val="28"/>
        </w:rPr>
      </w:pPr>
    </w:p>
    <w:p w14:paraId="329A53BC" w14:textId="28CF7DDC" w:rsidR="00AF2B8D" w:rsidRPr="00AF2B8D" w:rsidRDefault="004112A9" w:rsidP="00AF2B8D">
      <w:pPr>
        <w:pBdr>
          <w:top w:val="nil"/>
          <w:left w:val="nil"/>
          <w:bottom w:val="nil"/>
          <w:right w:val="nil"/>
          <w:between w:val="nil"/>
        </w:pBdr>
        <w:spacing w:after="200" w:line="276" w:lineRule="auto"/>
        <w:jc w:val="center"/>
        <w:rPr>
          <w:rFonts w:eastAsia="Calibri" w:cs="Arial"/>
          <w:b/>
          <w:color w:val="000000"/>
          <w:sz w:val="28"/>
          <w:szCs w:val="28"/>
        </w:rPr>
      </w:pPr>
      <w:r>
        <w:rPr>
          <w:rFonts w:eastAsia="Calibri" w:cs="Arial"/>
          <w:b/>
          <w:color w:val="000000"/>
          <w:sz w:val="28"/>
          <w:szCs w:val="28"/>
        </w:rPr>
        <w:t>DECOMPOSING ECONOMIC SUPPORT RATIO FOR SINGAPORE BY EDUCATION AND AGE STRUCTURE</w:t>
      </w:r>
    </w:p>
    <w:p w14:paraId="658B2FD5" w14:textId="77777777" w:rsidR="00AF2B8D" w:rsidRPr="00AF2B8D" w:rsidRDefault="00AF2B8D" w:rsidP="00AF2B8D">
      <w:pPr>
        <w:pBdr>
          <w:top w:val="nil"/>
          <w:left w:val="nil"/>
          <w:bottom w:val="nil"/>
          <w:right w:val="nil"/>
          <w:between w:val="nil"/>
        </w:pBdr>
        <w:spacing w:after="200" w:line="276" w:lineRule="auto"/>
        <w:jc w:val="center"/>
        <w:rPr>
          <w:rFonts w:eastAsia="Calibri" w:cs="Arial"/>
          <w:color w:val="000000"/>
          <w:sz w:val="28"/>
          <w:szCs w:val="28"/>
        </w:rPr>
      </w:pPr>
    </w:p>
    <w:p w14:paraId="27B6E4BC" w14:textId="2D2005CC" w:rsidR="00AF2B8D" w:rsidRPr="00AF2B8D" w:rsidRDefault="004112A9" w:rsidP="00CE56E9">
      <w:pPr>
        <w:pBdr>
          <w:top w:val="nil"/>
          <w:left w:val="nil"/>
          <w:bottom w:val="nil"/>
          <w:right w:val="nil"/>
          <w:between w:val="nil"/>
        </w:pBdr>
        <w:spacing w:after="200" w:line="360" w:lineRule="auto"/>
        <w:jc w:val="center"/>
        <w:rPr>
          <w:rFonts w:eastAsia="Calibri" w:cs="Arial"/>
          <w:b/>
          <w:color w:val="000000"/>
          <w:sz w:val="28"/>
          <w:szCs w:val="28"/>
        </w:rPr>
      </w:pPr>
      <w:r>
        <w:rPr>
          <w:rFonts w:eastAsia="Calibri" w:cs="Arial"/>
          <w:b/>
          <w:color w:val="000000"/>
          <w:sz w:val="28"/>
          <w:szCs w:val="28"/>
        </w:rPr>
        <w:t>EDDIE CHOO</w:t>
      </w:r>
    </w:p>
    <w:p w14:paraId="2E71B86B" w14:textId="37868A03" w:rsidR="00AF2B8D" w:rsidRPr="00AF2B8D" w:rsidRDefault="004112A9" w:rsidP="00CE56E9">
      <w:pPr>
        <w:pBdr>
          <w:top w:val="nil"/>
          <w:left w:val="nil"/>
          <w:bottom w:val="nil"/>
          <w:right w:val="nil"/>
          <w:between w:val="nil"/>
        </w:pBdr>
        <w:spacing w:after="200" w:line="360" w:lineRule="auto"/>
        <w:jc w:val="center"/>
        <w:rPr>
          <w:rFonts w:eastAsia="Calibri" w:cs="Arial"/>
          <w:color w:val="000000"/>
          <w:szCs w:val="24"/>
        </w:rPr>
      </w:pPr>
      <w:r>
        <w:rPr>
          <w:rFonts w:eastAsia="Calibri" w:cs="Arial"/>
          <w:color w:val="000000"/>
          <w:szCs w:val="24"/>
        </w:rPr>
        <w:t>Research Associate</w:t>
      </w:r>
    </w:p>
    <w:p w14:paraId="5BBCBC95" w14:textId="13703151" w:rsidR="00AF2B8D" w:rsidRPr="00AF2B8D" w:rsidRDefault="004112A9" w:rsidP="00CE56E9">
      <w:pPr>
        <w:pBdr>
          <w:top w:val="nil"/>
          <w:left w:val="nil"/>
          <w:bottom w:val="nil"/>
          <w:right w:val="nil"/>
          <w:between w:val="nil"/>
        </w:pBdr>
        <w:spacing w:after="200" w:line="360" w:lineRule="auto"/>
        <w:jc w:val="center"/>
        <w:rPr>
          <w:rFonts w:eastAsia="Calibri" w:cs="Arial"/>
          <w:color w:val="000000"/>
          <w:szCs w:val="24"/>
        </w:rPr>
      </w:pPr>
      <w:r>
        <w:rPr>
          <w:rFonts w:eastAsia="Calibri" w:cs="Arial"/>
          <w:color w:val="000000"/>
          <w:szCs w:val="24"/>
        </w:rPr>
        <w:t>Institute of Policy Studies</w:t>
      </w:r>
    </w:p>
    <w:p w14:paraId="729B868E" w14:textId="6CF2692F" w:rsidR="00AF2B8D" w:rsidRDefault="004112A9" w:rsidP="00CE56E9">
      <w:pPr>
        <w:pBdr>
          <w:top w:val="nil"/>
          <w:left w:val="nil"/>
          <w:bottom w:val="nil"/>
          <w:right w:val="nil"/>
          <w:between w:val="nil"/>
        </w:pBdr>
        <w:spacing w:after="200" w:line="360" w:lineRule="auto"/>
        <w:jc w:val="center"/>
        <w:rPr>
          <w:rFonts w:eastAsia="Calibri" w:cs="Arial"/>
          <w:color w:val="000000"/>
          <w:szCs w:val="24"/>
        </w:rPr>
      </w:pPr>
      <w:r>
        <w:rPr>
          <w:rFonts w:eastAsia="Calibri" w:cs="Arial"/>
          <w:color w:val="000000"/>
          <w:szCs w:val="24"/>
        </w:rPr>
        <w:t>eddie.choo@nus.edu.sg</w:t>
      </w:r>
    </w:p>
    <w:p w14:paraId="487B3FAE" w14:textId="77777777" w:rsidR="00CE56E9" w:rsidRPr="00AF2B8D"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5385DB0A" w14:textId="1D690B6F" w:rsidR="00AF2B8D" w:rsidRDefault="00AF2B8D" w:rsidP="00AF2B8D">
      <w:pPr>
        <w:pBdr>
          <w:top w:val="nil"/>
          <w:left w:val="nil"/>
          <w:bottom w:val="nil"/>
          <w:right w:val="nil"/>
          <w:between w:val="nil"/>
        </w:pBdr>
        <w:spacing w:after="200" w:line="276" w:lineRule="auto"/>
        <w:jc w:val="center"/>
        <w:rPr>
          <w:rFonts w:eastAsia="Calibri" w:cs="Arial"/>
          <w:color w:val="000000"/>
          <w:szCs w:val="24"/>
        </w:rPr>
      </w:pPr>
      <w:r w:rsidRPr="00AF2B8D">
        <w:rPr>
          <w:rFonts w:eastAsia="Calibri" w:cs="Arial"/>
          <w:color w:val="000000"/>
          <w:szCs w:val="24"/>
        </w:rPr>
        <w:t>and</w:t>
      </w:r>
    </w:p>
    <w:p w14:paraId="61E8685B" w14:textId="77777777" w:rsidR="00461A39" w:rsidRPr="00AF2B8D" w:rsidRDefault="00461A39" w:rsidP="00AF2B8D">
      <w:pPr>
        <w:pBdr>
          <w:top w:val="nil"/>
          <w:left w:val="nil"/>
          <w:bottom w:val="nil"/>
          <w:right w:val="nil"/>
          <w:between w:val="nil"/>
        </w:pBdr>
        <w:spacing w:after="200" w:line="276" w:lineRule="auto"/>
        <w:jc w:val="center"/>
        <w:rPr>
          <w:rFonts w:eastAsia="Calibri" w:cs="Arial"/>
          <w:color w:val="000000"/>
          <w:szCs w:val="24"/>
        </w:rPr>
      </w:pPr>
    </w:p>
    <w:p w14:paraId="5130E660" w14:textId="31A6F806" w:rsidR="00AF2B8D" w:rsidRPr="00AF2B8D" w:rsidRDefault="004112A9" w:rsidP="00CE56E9">
      <w:pPr>
        <w:pBdr>
          <w:top w:val="nil"/>
          <w:left w:val="nil"/>
          <w:bottom w:val="nil"/>
          <w:right w:val="nil"/>
          <w:between w:val="nil"/>
        </w:pBdr>
        <w:spacing w:after="200" w:line="360" w:lineRule="auto"/>
        <w:jc w:val="center"/>
        <w:rPr>
          <w:rFonts w:eastAsia="Calibri" w:cs="Arial"/>
          <w:b/>
          <w:color w:val="000000"/>
          <w:sz w:val="28"/>
          <w:szCs w:val="28"/>
        </w:rPr>
      </w:pPr>
      <w:r>
        <w:rPr>
          <w:rFonts w:eastAsia="Calibri" w:cs="Arial"/>
          <w:b/>
          <w:color w:val="000000"/>
          <w:sz w:val="28"/>
          <w:szCs w:val="28"/>
        </w:rPr>
        <w:t>CHRISTOPHER GEE</w:t>
      </w:r>
    </w:p>
    <w:p w14:paraId="3656685F" w14:textId="73DD1266" w:rsidR="00CE56E9" w:rsidRPr="00AF2B8D" w:rsidRDefault="004112A9" w:rsidP="00CE56E9">
      <w:pPr>
        <w:pBdr>
          <w:top w:val="nil"/>
          <w:left w:val="nil"/>
          <w:bottom w:val="nil"/>
          <w:right w:val="nil"/>
          <w:between w:val="nil"/>
        </w:pBdr>
        <w:spacing w:after="200" w:line="360" w:lineRule="auto"/>
        <w:jc w:val="center"/>
        <w:rPr>
          <w:rFonts w:eastAsia="Calibri" w:cs="Arial"/>
          <w:color w:val="000000"/>
          <w:szCs w:val="24"/>
        </w:rPr>
      </w:pPr>
      <w:r>
        <w:rPr>
          <w:rFonts w:eastAsia="Calibri" w:cs="Arial"/>
          <w:color w:val="000000"/>
          <w:szCs w:val="24"/>
        </w:rPr>
        <w:t>Senior Research Fellow</w:t>
      </w:r>
    </w:p>
    <w:p w14:paraId="2BEEE2D9" w14:textId="5FBEE98F" w:rsidR="00CE56E9" w:rsidRPr="00AF2B8D" w:rsidRDefault="004112A9" w:rsidP="00CE56E9">
      <w:pPr>
        <w:pBdr>
          <w:top w:val="nil"/>
          <w:left w:val="nil"/>
          <w:bottom w:val="nil"/>
          <w:right w:val="nil"/>
          <w:between w:val="nil"/>
        </w:pBdr>
        <w:spacing w:after="200" w:line="360" w:lineRule="auto"/>
        <w:jc w:val="center"/>
        <w:rPr>
          <w:rFonts w:eastAsia="Calibri" w:cs="Arial"/>
          <w:color w:val="000000"/>
          <w:szCs w:val="24"/>
        </w:rPr>
      </w:pPr>
      <w:r>
        <w:rPr>
          <w:rFonts w:eastAsia="Calibri" w:cs="Arial"/>
          <w:color w:val="000000"/>
          <w:szCs w:val="24"/>
        </w:rPr>
        <w:t>Institute of Policy Studies</w:t>
      </w:r>
    </w:p>
    <w:p w14:paraId="06816C9D" w14:textId="10ECECA9" w:rsidR="00CE56E9" w:rsidRPr="00AF2B8D" w:rsidRDefault="004112A9" w:rsidP="00CE56E9">
      <w:pPr>
        <w:pBdr>
          <w:top w:val="nil"/>
          <w:left w:val="nil"/>
          <w:bottom w:val="nil"/>
          <w:right w:val="nil"/>
          <w:between w:val="nil"/>
        </w:pBdr>
        <w:spacing w:after="200" w:line="360" w:lineRule="auto"/>
        <w:jc w:val="center"/>
        <w:rPr>
          <w:rFonts w:eastAsia="Calibri" w:cs="Arial"/>
          <w:color w:val="000000"/>
          <w:szCs w:val="24"/>
        </w:rPr>
      </w:pPr>
      <w:r>
        <w:rPr>
          <w:rFonts w:eastAsia="Calibri" w:cs="Arial"/>
          <w:color w:val="000000"/>
          <w:szCs w:val="24"/>
        </w:rPr>
        <w:t>christopher.gee@nus.edu.sg</w:t>
      </w:r>
    </w:p>
    <w:p w14:paraId="79BF22B5" w14:textId="36D5C006" w:rsidR="00AF2B8D" w:rsidRDefault="00AF2B8D" w:rsidP="00AF2B8D">
      <w:pPr>
        <w:pBdr>
          <w:top w:val="nil"/>
          <w:left w:val="nil"/>
          <w:bottom w:val="nil"/>
          <w:right w:val="nil"/>
          <w:between w:val="nil"/>
        </w:pBdr>
        <w:spacing w:after="200" w:line="276" w:lineRule="auto"/>
        <w:jc w:val="center"/>
        <w:rPr>
          <w:rFonts w:eastAsia="Calibri" w:cs="Arial"/>
          <w:color w:val="000000"/>
          <w:szCs w:val="24"/>
        </w:rPr>
      </w:pPr>
    </w:p>
    <w:p w14:paraId="413486FD" w14:textId="130FC68F"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5F41132B" w14:textId="5E8953CD"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5560D0FD" w14:textId="7E3E5ADD"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3930D223" w14:textId="20FA5A50"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3F67817C" w14:textId="00DF4466"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104FA213" w14:textId="5A095C0A"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341CC642" w14:textId="77777777"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0F180DDC" w14:textId="0609E379" w:rsidR="003D45CA" w:rsidRDefault="003D45CA" w:rsidP="00AF2B8D">
      <w:pPr>
        <w:pBdr>
          <w:top w:val="nil"/>
          <w:left w:val="nil"/>
          <w:bottom w:val="nil"/>
          <w:right w:val="nil"/>
          <w:between w:val="nil"/>
        </w:pBdr>
        <w:spacing w:after="200" w:line="276" w:lineRule="auto"/>
        <w:jc w:val="center"/>
        <w:rPr>
          <w:rFonts w:eastAsia="Calibri" w:cs="Arial"/>
          <w:color w:val="000000"/>
          <w:szCs w:val="24"/>
        </w:rPr>
      </w:pPr>
    </w:p>
    <w:p w14:paraId="44685AAB" w14:textId="726B376C" w:rsidR="00CE56E9"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163A1A41" w14:textId="77777777" w:rsidR="00CE56E9" w:rsidRPr="00AF2B8D" w:rsidRDefault="00CE56E9" w:rsidP="00AF2B8D">
      <w:pPr>
        <w:pBdr>
          <w:top w:val="nil"/>
          <w:left w:val="nil"/>
          <w:bottom w:val="nil"/>
          <w:right w:val="nil"/>
          <w:between w:val="nil"/>
        </w:pBdr>
        <w:spacing w:after="200" w:line="276" w:lineRule="auto"/>
        <w:jc w:val="center"/>
        <w:rPr>
          <w:rFonts w:eastAsia="Calibri" w:cs="Arial"/>
          <w:color w:val="000000"/>
          <w:szCs w:val="24"/>
        </w:rPr>
      </w:pPr>
    </w:p>
    <w:p w14:paraId="12CFEE9A" w14:textId="74E2A850" w:rsidR="00CE56E9" w:rsidRDefault="00461A39" w:rsidP="00CE56E9">
      <w:pPr>
        <w:pBdr>
          <w:top w:val="nil"/>
          <w:left w:val="nil"/>
          <w:bottom w:val="nil"/>
          <w:right w:val="nil"/>
          <w:between w:val="nil"/>
        </w:pBdr>
        <w:spacing w:after="200" w:line="276" w:lineRule="auto"/>
        <w:jc w:val="center"/>
        <w:rPr>
          <w:rFonts w:eastAsia="Calibri" w:cs="Arial"/>
          <w:color w:val="000000"/>
          <w:szCs w:val="24"/>
        </w:rPr>
      </w:pPr>
      <w:r>
        <w:rPr>
          <w:rFonts w:eastAsia="Calibri" w:cs="Arial"/>
          <w:color w:val="000000"/>
          <w:szCs w:val="24"/>
        </w:rPr>
        <w:t>February</w:t>
      </w:r>
      <w:r w:rsidR="00CE56E9">
        <w:rPr>
          <w:rFonts w:eastAsia="Calibri" w:cs="Arial"/>
          <w:color w:val="000000"/>
          <w:szCs w:val="24"/>
        </w:rPr>
        <w:t xml:space="preserve"> </w:t>
      </w:r>
      <w:r w:rsidR="001B0704">
        <w:rPr>
          <w:rFonts w:eastAsia="Calibri" w:cs="Arial"/>
          <w:color w:val="000000"/>
          <w:szCs w:val="24"/>
        </w:rPr>
        <w:t>2023</w:t>
      </w:r>
      <w:r w:rsidR="00CE56E9">
        <w:rPr>
          <w:rFonts w:eastAsia="Calibri" w:cs="Arial"/>
          <w:color w:val="000000"/>
          <w:szCs w:val="24"/>
        </w:rPr>
        <w:t xml:space="preserve"> </w:t>
      </w:r>
      <w:r w:rsidR="00CE56E9">
        <w:rPr>
          <w:rFonts w:eastAsia="Calibri" w:cs="Arial"/>
          <w:color w:val="000000"/>
          <w:szCs w:val="24"/>
        </w:rPr>
        <w:br w:type="page"/>
      </w:r>
    </w:p>
    <w:p w14:paraId="495509E3" w14:textId="420E35A4" w:rsidR="00CE56E9" w:rsidRDefault="00AF2B8D" w:rsidP="00CE56E9">
      <w:pPr>
        <w:jc w:val="center"/>
        <w:rPr>
          <w:rFonts w:cs="Arial"/>
          <w:b/>
          <w:sz w:val="28"/>
          <w:szCs w:val="28"/>
        </w:rPr>
      </w:pPr>
      <w:r w:rsidRPr="00AF2B8D">
        <w:rPr>
          <w:rFonts w:cs="Arial"/>
          <w:b/>
          <w:sz w:val="28"/>
          <w:szCs w:val="28"/>
        </w:rPr>
        <w:lastRenderedPageBreak/>
        <w:t>CONTENTS</w:t>
      </w:r>
    </w:p>
    <w:p w14:paraId="362CBDC7" w14:textId="78F70C0A" w:rsidR="00CE56E9" w:rsidRDefault="00CE56E9" w:rsidP="00CE56E9">
      <w:pPr>
        <w:jc w:val="center"/>
        <w:rPr>
          <w:rFonts w:cs="Arial"/>
          <w:b/>
          <w:sz w:val="28"/>
          <w:szCs w:val="28"/>
        </w:rPr>
      </w:pPr>
    </w:p>
    <w:p w14:paraId="762A53FC" w14:textId="30D4CD85" w:rsidR="007C4534" w:rsidRDefault="00CE56E9" w:rsidP="007C4534">
      <w:pPr>
        <w:rPr>
          <w:rFonts w:cs="Arial"/>
          <w:b/>
          <w:szCs w:val="24"/>
        </w:rPr>
      </w:pPr>
      <w:r w:rsidRPr="00CE56E9">
        <w:rPr>
          <w:rFonts w:cs="Arial"/>
          <w:b/>
          <w:i/>
          <w:szCs w:val="24"/>
        </w:rPr>
        <w:t>Abstract</w:t>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7C4534">
        <w:rPr>
          <w:rFonts w:cs="Arial"/>
          <w:b/>
          <w:i/>
          <w:szCs w:val="24"/>
        </w:rPr>
        <w:tab/>
      </w:r>
      <w:r w:rsidR="00467D2A">
        <w:rPr>
          <w:rFonts w:cs="Arial"/>
          <w:b/>
          <w:i/>
          <w:szCs w:val="24"/>
        </w:rPr>
        <w:t>3</w:t>
      </w:r>
    </w:p>
    <w:p w14:paraId="7311C2F1" w14:textId="0B8BB998" w:rsidR="007C4534" w:rsidRDefault="007C4534" w:rsidP="007C4534">
      <w:pPr>
        <w:rPr>
          <w:rFonts w:cs="Arial"/>
          <w:b/>
          <w:szCs w:val="24"/>
        </w:rPr>
      </w:pPr>
      <w:r>
        <w:rPr>
          <w:rFonts w:cs="Arial"/>
          <w:b/>
          <w:i/>
          <w:szCs w:val="24"/>
        </w:rPr>
        <w:t>Sections</w:t>
      </w:r>
    </w:p>
    <w:p w14:paraId="0A5BB0D2" w14:textId="5F6A235E" w:rsidR="007C4534" w:rsidRDefault="007C4534" w:rsidP="007C4534">
      <w:pPr>
        <w:pStyle w:val="ListParagraph"/>
        <w:numPr>
          <w:ilvl w:val="0"/>
          <w:numId w:val="21"/>
        </w:numPr>
        <w:spacing w:line="480" w:lineRule="auto"/>
        <w:ind w:left="567" w:hanging="567"/>
        <w:rPr>
          <w:rFonts w:ascii="Arial" w:hAnsi="Arial" w:cs="Arial"/>
          <w:b/>
          <w:szCs w:val="24"/>
        </w:rPr>
      </w:pPr>
      <w:r>
        <w:rPr>
          <w:rFonts w:ascii="Arial" w:hAnsi="Arial" w:cs="Arial"/>
          <w:b/>
          <w:szCs w:val="24"/>
        </w:rPr>
        <w:t>Introduction</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4</w:t>
      </w:r>
    </w:p>
    <w:p w14:paraId="76AE21FE" w14:textId="4981F11B" w:rsidR="007C4534" w:rsidRDefault="00B53759" w:rsidP="007C4534">
      <w:pPr>
        <w:pStyle w:val="ListParagraph"/>
        <w:numPr>
          <w:ilvl w:val="0"/>
          <w:numId w:val="21"/>
        </w:numPr>
        <w:spacing w:line="480" w:lineRule="auto"/>
        <w:ind w:left="567" w:hanging="567"/>
        <w:rPr>
          <w:rFonts w:ascii="Arial" w:hAnsi="Arial" w:cs="Arial"/>
          <w:b/>
          <w:szCs w:val="24"/>
        </w:rPr>
      </w:pPr>
      <w:r>
        <w:rPr>
          <w:rFonts w:ascii="Arial" w:hAnsi="Arial" w:cs="Arial"/>
          <w:b/>
          <w:szCs w:val="24"/>
        </w:rPr>
        <w:t>Literature Review</w:t>
      </w:r>
      <w:r w:rsidR="007C4534">
        <w:rPr>
          <w:rFonts w:ascii="Arial" w:hAnsi="Arial" w:cs="Arial"/>
          <w:b/>
          <w:szCs w:val="24"/>
        </w:rPr>
        <w:tab/>
      </w:r>
      <w:r w:rsidR="007C4534">
        <w:rPr>
          <w:rFonts w:ascii="Arial" w:hAnsi="Arial" w:cs="Arial"/>
          <w:b/>
          <w:szCs w:val="24"/>
        </w:rPr>
        <w:tab/>
      </w:r>
      <w:r w:rsidR="007C4534">
        <w:rPr>
          <w:rFonts w:ascii="Arial" w:hAnsi="Arial" w:cs="Arial"/>
          <w:b/>
          <w:szCs w:val="24"/>
        </w:rPr>
        <w:tab/>
      </w:r>
      <w:r w:rsidR="007C4534">
        <w:rPr>
          <w:rFonts w:ascii="Arial" w:hAnsi="Arial" w:cs="Arial"/>
          <w:b/>
          <w:szCs w:val="24"/>
        </w:rPr>
        <w:tab/>
      </w:r>
      <w:r w:rsidR="007C4534">
        <w:rPr>
          <w:rFonts w:ascii="Arial" w:hAnsi="Arial" w:cs="Arial"/>
          <w:b/>
          <w:szCs w:val="24"/>
        </w:rPr>
        <w:tab/>
      </w:r>
      <w:r w:rsidR="007C4534">
        <w:rPr>
          <w:rFonts w:ascii="Arial" w:hAnsi="Arial" w:cs="Arial"/>
          <w:b/>
          <w:szCs w:val="24"/>
        </w:rPr>
        <w:tab/>
      </w:r>
      <w:r w:rsidR="007C4534">
        <w:rPr>
          <w:rFonts w:ascii="Arial" w:hAnsi="Arial" w:cs="Arial"/>
          <w:b/>
          <w:szCs w:val="24"/>
        </w:rPr>
        <w:tab/>
      </w:r>
      <w:r w:rsidR="007C4534">
        <w:rPr>
          <w:rFonts w:ascii="Arial" w:hAnsi="Arial" w:cs="Arial"/>
          <w:b/>
          <w:szCs w:val="24"/>
        </w:rPr>
        <w:tab/>
      </w:r>
      <w:r w:rsidR="00772188">
        <w:rPr>
          <w:rFonts w:ascii="Arial" w:hAnsi="Arial" w:cs="Arial"/>
          <w:b/>
          <w:szCs w:val="24"/>
        </w:rPr>
        <w:t>5</w:t>
      </w:r>
    </w:p>
    <w:p w14:paraId="5AC76B6E" w14:textId="73CD9989" w:rsidR="007C4534" w:rsidRPr="00B53759" w:rsidRDefault="00B53759" w:rsidP="00B53759">
      <w:pPr>
        <w:pStyle w:val="ListParagraph"/>
        <w:numPr>
          <w:ilvl w:val="0"/>
          <w:numId w:val="21"/>
        </w:numPr>
        <w:ind w:left="567" w:hanging="567"/>
        <w:rPr>
          <w:rFonts w:cs="Arial"/>
          <w:b/>
          <w:szCs w:val="24"/>
        </w:rPr>
      </w:pPr>
      <w:r w:rsidRPr="00B53759">
        <w:rPr>
          <w:rFonts w:ascii="Arial" w:hAnsi="Arial" w:cs="Arial"/>
          <w:b/>
          <w:szCs w:val="24"/>
        </w:rPr>
        <w:t>Singapore’s Context</w:t>
      </w:r>
      <w:r w:rsidR="007C4534" w:rsidRPr="00B53759">
        <w:rPr>
          <w:rFonts w:ascii="Arial" w:hAnsi="Arial" w:cs="Arial"/>
          <w:b/>
          <w:szCs w:val="24"/>
        </w:rPr>
        <w:tab/>
      </w:r>
      <w:r w:rsidR="007C4534" w:rsidRPr="00B53759">
        <w:rPr>
          <w:rFonts w:cs="Arial"/>
          <w:b/>
          <w:szCs w:val="24"/>
        </w:rPr>
        <w:tab/>
      </w:r>
      <w:r w:rsidR="007C4534" w:rsidRPr="00B53759">
        <w:rPr>
          <w:rFonts w:cs="Arial"/>
          <w:b/>
          <w:szCs w:val="24"/>
        </w:rPr>
        <w:tab/>
      </w:r>
      <w:r w:rsidR="007C4534" w:rsidRPr="00B53759">
        <w:rPr>
          <w:rFonts w:cs="Arial"/>
          <w:b/>
          <w:szCs w:val="24"/>
        </w:rPr>
        <w:tab/>
      </w:r>
      <w:r w:rsidR="007C4534" w:rsidRPr="00B53759">
        <w:rPr>
          <w:rFonts w:cs="Arial"/>
          <w:b/>
          <w:szCs w:val="24"/>
        </w:rPr>
        <w:tab/>
      </w:r>
      <w:r w:rsidR="007C4534" w:rsidRPr="00B53759">
        <w:rPr>
          <w:rFonts w:cs="Arial"/>
          <w:b/>
          <w:szCs w:val="24"/>
        </w:rPr>
        <w:tab/>
      </w:r>
      <w:r w:rsidR="007C4534" w:rsidRPr="00B53759">
        <w:rPr>
          <w:rFonts w:cs="Arial"/>
          <w:b/>
          <w:szCs w:val="24"/>
        </w:rPr>
        <w:tab/>
      </w:r>
      <w:r w:rsidR="00772188">
        <w:rPr>
          <w:rFonts w:ascii="Arial" w:hAnsi="Arial" w:cs="Arial"/>
          <w:b/>
          <w:szCs w:val="24"/>
        </w:rPr>
        <w:t>1</w:t>
      </w:r>
      <w:r w:rsidR="005F3211">
        <w:rPr>
          <w:rFonts w:ascii="Arial" w:hAnsi="Arial" w:cs="Arial"/>
          <w:b/>
          <w:szCs w:val="24"/>
        </w:rPr>
        <w:t>1</w:t>
      </w:r>
    </w:p>
    <w:p w14:paraId="3CF59B67" w14:textId="77777777" w:rsidR="00B53759" w:rsidRPr="00B53759" w:rsidRDefault="00B53759" w:rsidP="00B53759">
      <w:pPr>
        <w:pStyle w:val="ListParagraph"/>
        <w:ind w:left="567"/>
        <w:rPr>
          <w:rFonts w:cs="Arial"/>
          <w:b/>
          <w:szCs w:val="24"/>
        </w:rPr>
      </w:pPr>
    </w:p>
    <w:p w14:paraId="275CBC2B" w14:textId="35E8490E" w:rsidR="00662403" w:rsidRDefault="00B53759"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An Ageing Society</w:t>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772188">
        <w:rPr>
          <w:rFonts w:ascii="Arial" w:hAnsi="Arial" w:cs="Arial"/>
          <w:b/>
          <w:szCs w:val="24"/>
        </w:rPr>
        <w:t>16</w:t>
      </w:r>
    </w:p>
    <w:p w14:paraId="5D940496" w14:textId="37408500" w:rsidR="00662403" w:rsidRDefault="00B53759"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Methodology</w:t>
      </w:r>
      <w:r>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772188">
        <w:rPr>
          <w:rFonts w:ascii="Arial" w:hAnsi="Arial" w:cs="Arial"/>
          <w:b/>
          <w:szCs w:val="24"/>
        </w:rPr>
        <w:t>1</w:t>
      </w:r>
      <w:r w:rsidR="00257F18">
        <w:rPr>
          <w:rFonts w:ascii="Arial" w:hAnsi="Arial" w:cs="Arial"/>
          <w:b/>
          <w:szCs w:val="24"/>
        </w:rPr>
        <w:t>8</w:t>
      </w:r>
    </w:p>
    <w:p w14:paraId="7EDCC19D" w14:textId="481530D5" w:rsidR="00662403" w:rsidRDefault="00B53759"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Data</w:t>
      </w:r>
      <w:r>
        <w:rPr>
          <w:rFonts w:ascii="Arial" w:hAnsi="Arial" w:cs="Arial"/>
          <w:b/>
          <w:szCs w:val="24"/>
        </w:rPr>
        <w:tab/>
      </w:r>
      <w:r>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FB3A20">
        <w:rPr>
          <w:rFonts w:ascii="Arial" w:hAnsi="Arial" w:cs="Arial"/>
          <w:b/>
          <w:szCs w:val="24"/>
        </w:rPr>
        <w:t>1</w:t>
      </w:r>
      <w:r w:rsidR="00257F18">
        <w:rPr>
          <w:rFonts w:ascii="Arial" w:hAnsi="Arial" w:cs="Arial"/>
          <w:b/>
          <w:szCs w:val="24"/>
        </w:rPr>
        <w:t>9</w:t>
      </w:r>
    </w:p>
    <w:p w14:paraId="1559A28D" w14:textId="7A834E9B" w:rsidR="00662403" w:rsidRDefault="00B53759"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Results</w:t>
      </w:r>
      <w:r>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662403">
        <w:rPr>
          <w:rFonts w:ascii="Arial" w:hAnsi="Arial" w:cs="Arial"/>
          <w:b/>
          <w:szCs w:val="24"/>
        </w:rPr>
        <w:tab/>
      </w:r>
      <w:r w:rsidR="00772188">
        <w:rPr>
          <w:rFonts w:ascii="Arial" w:hAnsi="Arial" w:cs="Arial"/>
          <w:b/>
          <w:szCs w:val="24"/>
        </w:rPr>
        <w:t>2</w:t>
      </w:r>
      <w:r w:rsidR="00257F18">
        <w:rPr>
          <w:rFonts w:ascii="Arial" w:hAnsi="Arial" w:cs="Arial"/>
          <w:b/>
          <w:szCs w:val="24"/>
        </w:rPr>
        <w:t>0</w:t>
      </w:r>
    </w:p>
    <w:p w14:paraId="7984ED6B" w14:textId="1C8EED27" w:rsidR="00B53759" w:rsidRDefault="00B53759"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Discussion</w:t>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t>25</w:t>
      </w:r>
    </w:p>
    <w:p w14:paraId="2D899581" w14:textId="31229F29" w:rsidR="00B53759" w:rsidRDefault="00B53759"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Conclusions and further work</w:t>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r>
      <w:r w:rsidR="00772188">
        <w:rPr>
          <w:rFonts w:ascii="Arial" w:hAnsi="Arial" w:cs="Arial"/>
          <w:b/>
          <w:szCs w:val="24"/>
        </w:rPr>
        <w:tab/>
        <w:t>26</w:t>
      </w:r>
    </w:p>
    <w:p w14:paraId="1840A484" w14:textId="51ED90D2" w:rsidR="00772188" w:rsidRPr="00662403" w:rsidRDefault="00772188" w:rsidP="00662403">
      <w:pPr>
        <w:pStyle w:val="ListParagraph"/>
        <w:numPr>
          <w:ilvl w:val="0"/>
          <w:numId w:val="21"/>
        </w:numPr>
        <w:spacing w:line="480" w:lineRule="auto"/>
        <w:ind w:left="567" w:hanging="567"/>
        <w:rPr>
          <w:rFonts w:ascii="Arial" w:hAnsi="Arial" w:cs="Arial"/>
          <w:b/>
          <w:szCs w:val="24"/>
        </w:rPr>
      </w:pPr>
      <w:r>
        <w:rPr>
          <w:rFonts w:ascii="Arial" w:hAnsi="Arial" w:cs="Arial"/>
          <w:b/>
          <w:szCs w:val="24"/>
        </w:rPr>
        <w:t>References</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28</w:t>
      </w:r>
    </w:p>
    <w:p w14:paraId="2293A68D" w14:textId="77777777" w:rsidR="00AF2B8D" w:rsidRPr="00AF2B8D" w:rsidRDefault="00AF2B8D" w:rsidP="007C4534">
      <w:pPr>
        <w:ind w:left="1440" w:firstLine="720"/>
        <w:rPr>
          <w:rFonts w:cs="Arial"/>
          <w:b/>
          <w:szCs w:val="24"/>
        </w:rPr>
      </w:pPr>
    </w:p>
    <w:p w14:paraId="15692912" w14:textId="77777777" w:rsidR="00AF2B8D" w:rsidRPr="00AF2B8D" w:rsidRDefault="00AF2B8D" w:rsidP="00AF2B8D">
      <w:pPr>
        <w:ind w:left="1440" w:firstLine="720"/>
        <w:rPr>
          <w:rFonts w:cs="Arial"/>
          <w:b/>
          <w:szCs w:val="24"/>
        </w:rPr>
      </w:pPr>
    </w:p>
    <w:p w14:paraId="7E5953B4" w14:textId="77777777" w:rsidR="00AF2B8D" w:rsidRPr="00AF2B8D" w:rsidRDefault="00AF2B8D" w:rsidP="00AF2B8D">
      <w:pPr>
        <w:ind w:left="1440" w:firstLine="720"/>
        <w:rPr>
          <w:rFonts w:cs="Arial"/>
          <w:b/>
          <w:szCs w:val="24"/>
        </w:rPr>
      </w:pPr>
    </w:p>
    <w:p w14:paraId="43ED1B20" w14:textId="77777777" w:rsidR="00AF2B8D" w:rsidRPr="00AF2B8D" w:rsidRDefault="00AF2B8D" w:rsidP="00AF2B8D">
      <w:pPr>
        <w:ind w:left="1440" w:firstLine="720"/>
        <w:rPr>
          <w:rFonts w:cs="Arial"/>
          <w:b/>
          <w:szCs w:val="24"/>
        </w:rPr>
      </w:pPr>
    </w:p>
    <w:p w14:paraId="7A36627A" w14:textId="77777777" w:rsidR="00AF2B8D" w:rsidRPr="00AF2B8D" w:rsidRDefault="00AF2B8D" w:rsidP="00AF2B8D">
      <w:pPr>
        <w:ind w:left="1440" w:firstLine="720"/>
        <w:rPr>
          <w:rFonts w:cs="Arial"/>
          <w:b/>
          <w:szCs w:val="24"/>
        </w:rPr>
      </w:pPr>
    </w:p>
    <w:p w14:paraId="136CE9F2" w14:textId="77777777" w:rsidR="00AF2B8D" w:rsidRPr="00AF2B8D" w:rsidRDefault="00AF2B8D" w:rsidP="00AF2B8D">
      <w:pPr>
        <w:ind w:left="1440" w:firstLine="720"/>
        <w:rPr>
          <w:rFonts w:cs="Arial"/>
          <w:b/>
          <w:szCs w:val="24"/>
        </w:rPr>
      </w:pPr>
    </w:p>
    <w:p w14:paraId="545793B2" w14:textId="68BD51D4" w:rsidR="00AF2B8D" w:rsidRDefault="00AF2B8D" w:rsidP="00AF2B8D">
      <w:pPr>
        <w:ind w:left="1440" w:firstLine="720"/>
        <w:rPr>
          <w:rFonts w:cs="Arial"/>
          <w:b/>
          <w:szCs w:val="24"/>
        </w:rPr>
      </w:pPr>
    </w:p>
    <w:p w14:paraId="41F910A6" w14:textId="0B0099F5" w:rsidR="00772188" w:rsidRDefault="00772188" w:rsidP="00AF2B8D">
      <w:pPr>
        <w:ind w:left="1440" w:firstLine="720"/>
        <w:rPr>
          <w:rFonts w:cs="Arial"/>
          <w:b/>
          <w:szCs w:val="24"/>
        </w:rPr>
      </w:pPr>
    </w:p>
    <w:p w14:paraId="311F03D4" w14:textId="77777777" w:rsidR="00772188" w:rsidRPr="00AF2B8D" w:rsidRDefault="00772188" w:rsidP="00AF2B8D">
      <w:pPr>
        <w:ind w:left="1440" w:firstLine="720"/>
        <w:rPr>
          <w:rFonts w:cs="Arial"/>
          <w:b/>
          <w:szCs w:val="24"/>
        </w:rPr>
      </w:pPr>
    </w:p>
    <w:p w14:paraId="331790D2" w14:textId="77777777" w:rsidR="009B474D" w:rsidRDefault="009B474D" w:rsidP="009B474D">
      <w:pPr>
        <w:pBdr>
          <w:top w:val="nil"/>
          <w:left w:val="nil"/>
          <w:bottom w:val="nil"/>
          <w:right w:val="nil"/>
          <w:between w:val="nil"/>
        </w:pBdr>
        <w:spacing w:after="200" w:line="276" w:lineRule="auto"/>
        <w:jc w:val="center"/>
        <w:rPr>
          <w:rFonts w:eastAsia="Calibri" w:cs="Arial"/>
          <w:b/>
          <w:color w:val="000000"/>
          <w:szCs w:val="24"/>
        </w:rPr>
      </w:pPr>
    </w:p>
    <w:p w14:paraId="3861BF76" w14:textId="6D764D52" w:rsidR="00140573" w:rsidRDefault="00140573" w:rsidP="00140573">
      <w:pPr>
        <w:jc w:val="center"/>
        <w:rPr>
          <w:rFonts w:cs="Arial"/>
          <w:b/>
          <w:lang w:val="en-US"/>
        </w:rPr>
      </w:pPr>
      <w:r>
        <w:rPr>
          <w:rFonts w:cs="Arial"/>
          <w:b/>
          <w:lang w:val="en-US"/>
        </w:rPr>
        <w:t>DECOMPOSING ECONOMIC SUPPORT RATIO FOR SINGAPORE BY EDUCATION AND AGE STRUCTURE</w:t>
      </w:r>
    </w:p>
    <w:p w14:paraId="67C83012" w14:textId="77777777" w:rsidR="00AF2B8D" w:rsidRPr="00140573" w:rsidRDefault="00AF2B8D" w:rsidP="00AF2B8D">
      <w:pPr>
        <w:ind w:left="1440" w:firstLine="720"/>
        <w:rPr>
          <w:rFonts w:cs="Arial"/>
          <w:b/>
          <w:szCs w:val="24"/>
          <w:lang w:val="en-US"/>
        </w:rPr>
      </w:pPr>
    </w:p>
    <w:p w14:paraId="05E91209" w14:textId="77777777" w:rsidR="00AF2B8D" w:rsidRPr="00AF2B8D" w:rsidRDefault="00AF2B8D" w:rsidP="00AF2B8D">
      <w:pPr>
        <w:jc w:val="both"/>
        <w:rPr>
          <w:rFonts w:cs="Arial"/>
          <w:b/>
          <w:szCs w:val="24"/>
        </w:rPr>
      </w:pPr>
      <w:r w:rsidRPr="00AF2B8D">
        <w:rPr>
          <w:rFonts w:cs="Arial"/>
          <w:b/>
          <w:szCs w:val="24"/>
        </w:rPr>
        <w:t>Abstract</w:t>
      </w:r>
    </w:p>
    <w:p w14:paraId="2E98287F" w14:textId="77777777" w:rsidR="00140573" w:rsidRPr="00140573" w:rsidRDefault="00140573" w:rsidP="00140573">
      <w:pPr>
        <w:jc w:val="both"/>
        <w:rPr>
          <w:rFonts w:cs="Arial"/>
          <w:lang w:val="en-US" w:eastAsia="zh-CN"/>
        </w:rPr>
      </w:pPr>
      <w:r w:rsidRPr="00140573">
        <w:rPr>
          <w:rFonts w:cs="Arial"/>
          <w:lang w:val="en-US"/>
        </w:rPr>
        <w:t xml:space="preserve">This work looks at changes in Singapore’s economic support ratio (ESR) from 1970-2020. The ESR is evaluated by determining the number of net workers over the number of net consumers. Singapore’s rapid economic development historically had been attributed to </w:t>
      </w:r>
      <w:proofErr w:type="spellStart"/>
      <w:r w:rsidRPr="00140573">
        <w:rPr>
          <w:rFonts w:cs="Arial"/>
          <w:lang w:val="en-US"/>
        </w:rPr>
        <w:t>favourable</w:t>
      </w:r>
      <w:proofErr w:type="spellEnd"/>
      <w:r w:rsidRPr="00140573">
        <w:rPr>
          <w:rFonts w:cs="Arial"/>
          <w:lang w:val="en-US"/>
        </w:rPr>
        <w:t xml:space="preserve"> demographics – from large cohorts of the population entering the workforce for several decades. In this work, the contribution of education using data on highest qualification attained (HQA) is evaluated through the use of Das Gupta’s decomposition technique. We find that the demographic effect and education effect have both contributed to Singapore’s ESR, and that education effect had been significant in sustaining Singapore’s ESR. The contribution from education is expected to be important in the context of Singapore’s rapidly ageing population. </w:t>
      </w:r>
    </w:p>
    <w:p w14:paraId="16164C63" w14:textId="77777777" w:rsidR="009B474D" w:rsidRPr="00140573" w:rsidRDefault="009B474D" w:rsidP="009B474D">
      <w:pPr>
        <w:jc w:val="both"/>
        <w:rPr>
          <w:rFonts w:eastAsia="Calibri" w:cs="Arial"/>
          <w:color w:val="000000"/>
          <w:szCs w:val="24"/>
          <w:lang w:val="en-US"/>
        </w:rPr>
      </w:pPr>
    </w:p>
    <w:p w14:paraId="707D41D6" w14:textId="2220ACA0" w:rsidR="009B474D" w:rsidRPr="009B474D" w:rsidRDefault="009B474D" w:rsidP="009B474D">
      <w:pPr>
        <w:jc w:val="both"/>
        <w:rPr>
          <w:rFonts w:eastAsia="Calibri" w:cs="Arial"/>
          <w:color w:val="000000"/>
          <w:szCs w:val="24"/>
        </w:rPr>
      </w:pPr>
    </w:p>
    <w:p w14:paraId="1053A0B6" w14:textId="77777777" w:rsidR="009B474D" w:rsidRPr="009B474D" w:rsidRDefault="009B474D" w:rsidP="009B474D">
      <w:pPr>
        <w:jc w:val="both"/>
        <w:rPr>
          <w:rFonts w:eastAsia="Calibri" w:cs="Arial"/>
          <w:color w:val="000000"/>
          <w:szCs w:val="24"/>
        </w:rPr>
      </w:pPr>
    </w:p>
    <w:p w14:paraId="0AAFB2E9" w14:textId="77777777" w:rsidR="009B474D" w:rsidRDefault="009B474D" w:rsidP="009B474D">
      <w:pPr>
        <w:rPr>
          <w:rFonts w:eastAsia="Calibri" w:cs="Arial"/>
          <w:b/>
          <w:bCs/>
          <w:color w:val="000000"/>
          <w:szCs w:val="24"/>
        </w:rPr>
      </w:pPr>
      <w:r>
        <w:rPr>
          <w:rFonts w:eastAsia="Calibri" w:cs="Arial"/>
          <w:b/>
          <w:bCs/>
          <w:color w:val="000000"/>
          <w:szCs w:val="24"/>
        </w:rPr>
        <w:br w:type="page"/>
      </w:r>
    </w:p>
    <w:p w14:paraId="2BCFBC31" w14:textId="77777777" w:rsidR="008E6786" w:rsidRDefault="008E6786" w:rsidP="008E6786">
      <w:pPr>
        <w:jc w:val="center"/>
        <w:rPr>
          <w:rFonts w:cs="Arial"/>
          <w:b/>
          <w:lang w:val="en-US"/>
        </w:rPr>
      </w:pPr>
      <w:r>
        <w:rPr>
          <w:rFonts w:cs="Arial"/>
          <w:b/>
          <w:lang w:val="en-US"/>
        </w:rPr>
        <w:lastRenderedPageBreak/>
        <w:t>DECOMPOSING ECONOMIC SUPPORT RATIO FOR SINGAPORE BY EDUCATION AND AGE STRUCTURE</w:t>
      </w:r>
    </w:p>
    <w:p w14:paraId="78BEA080" w14:textId="77777777" w:rsidR="009B474D" w:rsidRPr="008E6786" w:rsidRDefault="009B474D" w:rsidP="00AF2B8D">
      <w:pPr>
        <w:jc w:val="center"/>
        <w:rPr>
          <w:rFonts w:eastAsia="Calibri" w:cs="Arial"/>
          <w:b/>
          <w:bCs/>
          <w:color w:val="000000"/>
          <w:szCs w:val="24"/>
          <w:lang w:val="en-US"/>
        </w:rPr>
      </w:pPr>
    </w:p>
    <w:p w14:paraId="375BE140" w14:textId="5CBB1521" w:rsidR="00467D2A" w:rsidRDefault="00467D2A" w:rsidP="00467D2A">
      <w:pPr>
        <w:pStyle w:val="Heading1"/>
      </w:pPr>
      <w:r>
        <w:t>1. INTRODUCTION</w:t>
      </w:r>
    </w:p>
    <w:p w14:paraId="20CFD70A" w14:textId="6EDD358A" w:rsidR="007B4AD1" w:rsidRDefault="007B4AD1" w:rsidP="007B4AD1">
      <w:pPr>
        <w:jc w:val="both"/>
        <w:rPr>
          <w:rFonts w:cs="Arial"/>
        </w:rPr>
      </w:pPr>
      <w:r w:rsidRPr="00B24EFA">
        <w:rPr>
          <w:rFonts w:cs="Arial"/>
        </w:rPr>
        <w:t xml:space="preserve">The National Transfer of Accounts (NTA) is a framework that accounts for the flow of resources across generations in society. The NTA accounts for how people have different flows of resources at different stages in their lives. For instance, people generate more financial resources in their active working years than they consume; people also tend to consume more financial resources than they generate in their early years of life, and in their advanced years in life. At the same time, there are transfers of financial resources from various institutions. Government is an important institution that transfers resources through taxation; within the family, there are also significant transfers from parents to their children. </w:t>
      </w:r>
    </w:p>
    <w:p w14:paraId="11CD2BFA" w14:textId="77777777" w:rsidR="007B4AD1" w:rsidRPr="00B24EFA" w:rsidRDefault="007B4AD1" w:rsidP="007B4AD1">
      <w:pPr>
        <w:jc w:val="both"/>
        <w:rPr>
          <w:rFonts w:cs="Arial"/>
        </w:rPr>
      </w:pPr>
    </w:p>
    <w:p w14:paraId="60795C32" w14:textId="071CC2DB" w:rsidR="007B4AD1" w:rsidRDefault="007B4AD1" w:rsidP="007B4AD1">
      <w:pPr>
        <w:jc w:val="both"/>
        <w:rPr>
          <w:rFonts w:cs="Arial"/>
        </w:rPr>
      </w:pPr>
      <w:r w:rsidRPr="00B24EFA">
        <w:rPr>
          <w:rFonts w:cs="Arial"/>
        </w:rPr>
        <w:t xml:space="preserve">Other than income, consumption, and transfers, there are other figures that are of interest. There is the Lifecycle Deficit, which is the difference between consumption and income. The difference between the two is total transfers, which can be separately accounted for as either coming from public or private sources. </w:t>
      </w:r>
    </w:p>
    <w:p w14:paraId="756C0566" w14:textId="77777777" w:rsidR="007B4AD1" w:rsidRPr="00B24EFA" w:rsidRDefault="007B4AD1" w:rsidP="007B4AD1">
      <w:pPr>
        <w:jc w:val="both"/>
        <w:rPr>
          <w:rFonts w:cs="Arial"/>
        </w:rPr>
      </w:pPr>
    </w:p>
    <w:p w14:paraId="2AD2C188" w14:textId="4C1822F3" w:rsidR="007B4AD1" w:rsidRDefault="007B4AD1" w:rsidP="007B4AD1">
      <w:pPr>
        <w:jc w:val="both"/>
        <w:rPr>
          <w:rFonts w:cs="Arial"/>
        </w:rPr>
      </w:pPr>
      <w:r w:rsidRPr="00B24EFA">
        <w:rPr>
          <w:rFonts w:cs="Arial"/>
        </w:rPr>
        <w:t>The NTA is computed from accounting for the consumption and income at every age or age group. That is, individuals can be consuming and/or generating an income at every age</w:t>
      </w:r>
      <w:r>
        <w:rPr>
          <w:rFonts w:cs="Arial"/>
        </w:rPr>
        <w:t>. C</w:t>
      </w:r>
      <w:r w:rsidRPr="00B24EFA">
        <w:rPr>
          <w:rFonts w:cs="Arial"/>
        </w:rPr>
        <w:t xml:space="preserve">hildren are usually not assigned an income as they are not earning. </w:t>
      </w:r>
    </w:p>
    <w:p w14:paraId="550198B8" w14:textId="77777777" w:rsidR="007B4AD1" w:rsidRPr="00B24EFA" w:rsidRDefault="007B4AD1" w:rsidP="007B4AD1">
      <w:pPr>
        <w:jc w:val="both"/>
        <w:rPr>
          <w:rFonts w:cs="Arial"/>
        </w:rPr>
      </w:pPr>
    </w:p>
    <w:p w14:paraId="7257504D" w14:textId="394CBFE2" w:rsidR="007B4AD1" w:rsidRDefault="007B4AD1" w:rsidP="007B4AD1">
      <w:pPr>
        <w:jc w:val="both"/>
        <w:rPr>
          <w:rFonts w:cs="Arial"/>
        </w:rPr>
      </w:pPr>
      <w:r w:rsidRPr="00B24EFA">
        <w:rPr>
          <w:rFonts w:cs="Arial"/>
        </w:rPr>
        <w:lastRenderedPageBreak/>
        <w:t>We are interested in the effective economic support ratio, or sometimes shortened as the economic support ratio</w:t>
      </w:r>
      <w:r>
        <w:rPr>
          <w:rFonts w:cs="Arial"/>
        </w:rPr>
        <w:t xml:space="preserve"> (ESR)</w:t>
      </w:r>
      <w:r w:rsidRPr="00B24EFA">
        <w:rPr>
          <w:rFonts w:cs="Arial"/>
        </w:rPr>
        <w:t xml:space="preserve">. The </w:t>
      </w:r>
      <w:r>
        <w:rPr>
          <w:rFonts w:cs="Arial"/>
        </w:rPr>
        <w:t>ESR</w:t>
      </w:r>
      <w:r w:rsidRPr="00B24EFA">
        <w:rPr>
          <w:rFonts w:cs="Arial"/>
        </w:rPr>
        <w:t xml:space="preserve"> is calculated as the number of effective workers over the number of effective consumers. The number of effective workers is defined as the number of people where income exceeds consumption. The number of effective consumers is defined as the number of people where consumption exceeds income. Effective workers are usually in the prime working age, while effective consumers are usually either very young and the retired persons. </w:t>
      </w:r>
    </w:p>
    <w:p w14:paraId="506A104D" w14:textId="77777777" w:rsidR="007B4AD1" w:rsidRPr="00B24EFA" w:rsidRDefault="007B4AD1" w:rsidP="007B4AD1">
      <w:pPr>
        <w:jc w:val="both"/>
        <w:rPr>
          <w:rFonts w:cs="Arial"/>
        </w:rPr>
      </w:pPr>
    </w:p>
    <w:p w14:paraId="1AB08845" w14:textId="10003397" w:rsidR="007B4AD1" w:rsidRDefault="007B4AD1" w:rsidP="007B4AD1">
      <w:pPr>
        <w:jc w:val="both"/>
        <w:rPr>
          <w:rFonts w:cs="Arial"/>
        </w:rPr>
      </w:pPr>
      <w:r w:rsidRPr="00B24EFA">
        <w:rPr>
          <w:rFonts w:cs="Arial"/>
        </w:rPr>
        <w:t xml:space="preserve">The </w:t>
      </w:r>
      <w:r>
        <w:rPr>
          <w:rFonts w:cs="Arial"/>
        </w:rPr>
        <w:t>ESR</w:t>
      </w:r>
      <w:r w:rsidRPr="00B24EFA">
        <w:rPr>
          <w:rFonts w:cs="Arial"/>
        </w:rPr>
        <w:t xml:space="preserve"> has implications for public policy, particular in matters relating to redistribution. An ESR of more than 1 implies that there are more workers than consumption, and the society is likely to be generating fiscal surplus. An ESR of less than 1 implies that there are more consumers than workers, likely to be generating a fiscal deficit and requiring transfers. </w:t>
      </w:r>
    </w:p>
    <w:p w14:paraId="72C7E49F" w14:textId="77777777" w:rsidR="007B4AD1" w:rsidRDefault="007B4AD1" w:rsidP="007B4AD1">
      <w:pPr>
        <w:jc w:val="both"/>
        <w:rPr>
          <w:rFonts w:cs="Arial"/>
        </w:rPr>
      </w:pPr>
    </w:p>
    <w:p w14:paraId="016880EF" w14:textId="799A8D83" w:rsidR="007B4AD1" w:rsidRDefault="007B4AD1" w:rsidP="007B4AD1">
      <w:pPr>
        <w:jc w:val="both"/>
        <w:rPr>
          <w:rFonts w:cs="Arial"/>
        </w:rPr>
      </w:pPr>
      <w:r w:rsidRPr="00B24EFA">
        <w:rPr>
          <w:rFonts w:cs="Arial"/>
        </w:rPr>
        <w:t xml:space="preserve">We examine the ESR according to different levels of highest qualification attained (HQA). </w:t>
      </w:r>
      <w:r>
        <w:rPr>
          <w:rFonts w:cs="Arial"/>
        </w:rPr>
        <w:t xml:space="preserve">Using decomposition techniques, we identify the contributions of demographic and education effects. </w:t>
      </w:r>
    </w:p>
    <w:p w14:paraId="3933CE34" w14:textId="77777777" w:rsidR="007B4AD1" w:rsidRDefault="007B4AD1" w:rsidP="007B4AD1">
      <w:pPr>
        <w:jc w:val="both"/>
        <w:rPr>
          <w:rFonts w:cs="Arial"/>
        </w:rPr>
      </w:pPr>
    </w:p>
    <w:p w14:paraId="59B0B2A7" w14:textId="1BDCEF0F" w:rsidR="00AF2B8D" w:rsidRPr="007B4AD1" w:rsidRDefault="00467D2A" w:rsidP="007B4AD1">
      <w:pPr>
        <w:pStyle w:val="Heading1"/>
      </w:pPr>
      <w:r>
        <w:t>2</w:t>
      </w:r>
      <w:r w:rsidR="00771CB1" w:rsidRPr="007B4AD1">
        <w:t xml:space="preserve">. </w:t>
      </w:r>
      <w:r w:rsidR="007B4AD1">
        <w:t>LITERATURE REVIEW</w:t>
      </w:r>
    </w:p>
    <w:p w14:paraId="42585238" w14:textId="031F8CA1" w:rsidR="007B4AD1" w:rsidRDefault="007B4AD1" w:rsidP="007B4AD1">
      <w:pPr>
        <w:jc w:val="both"/>
        <w:rPr>
          <w:rFonts w:cs="Arial"/>
          <w:szCs w:val="24"/>
        </w:rPr>
      </w:pPr>
      <w:r w:rsidRPr="007B4AD1">
        <w:rPr>
          <w:rFonts w:cs="Arial"/>
          <w:szCs w:val="24"/>
        </w:rPr>
        <w:t xml:space="preserve">The work in this paper is situated in the context of discussions about the importance and contribution of population </w:t>
      </w:r>
      <w:r w:rsidR="00E63120">
        <w:rPr>
          <w:rFonts w:cs="Arial"/>
          <w:szCs w:val="24"/>
        </w:rPr>
        <w:t>dynamics</w:t>
      </w:r>
      <w:r w:rsidRPr="007B4AD1">
        <w:rPr>
          <w:rFonts w:cs="Arial"/>
          <w:szCs w:val="24"/>
        </w:rPr>
        <w:t xml:space="preserve"> to economic development. The rapid economic development in Europe and East Asia after the Second World War, together with new concepts of social development have refined our understanding of how population dynamics and education contribute to economic development. </w:t>
      </w:r>
    </w:p>
    <w:p w14:paraId="55E77F07" w14:textId="77777777" w:rsidR="00A12150" w:rsidRPr="007B4AD1" w:rsidRDefault="00A12150" w:rsidP="007B4AD1">
      <w:pPr>
        <w:jc w:val="both"/>
        <w:rPr>
          <w:rFonts w:cs="Arial"/>
          <w:szCs w:val="24"/>
        </w:rPr>
      </w:pPr>
    </w:p>
    <w:p w14:paraId="5157185E" w14:textId="33163006" w:rsidR="007B4AD1" w:rsidRDefault="007B4AD1" w:rsidP="007B4AD1">
      <w:pPr>
        <w:jc w:val="both"/>
        <w:rPr>
          <w:rFonts w:cs="Arial"/>
          <w:szCs w:val="24"/>
        </w:rPr>
      </w:pPr>
      <w:r w:rsidRPr="007B4AD1">
        <w:rPr>
          <w:rFonts w:cs="Arial"/>
          <w:szCs w:val="24"/>
        </w:rPr>
        <w:t xml:space="preserve">What we are interested in is the contribution of demographics – the age structure of the population, and on the education profile of the population, on economic development. We will address these in turn. </w:t>
      </w:r>
    </w:p>
    <w:p w14:paraId="753D200E" w14:textId="77777777" w:rsidR="00483E8E" w:rsidRPr="007B4AD1" w:rsidRDefault="00483E8E" w:rsidP="007B4AD1">
      <w:pPr>
        <w:jc w:val="both"/>
        <w:rPr>
          <w:rFonts w:cs="Arial"/>
          <w:szCs w:val="24"/>
        </w:rPr>
      </w:pPr>
    </w:p>
    <w:p w14:paraId="154EA8D1" w14:textId="531500BE" w:rsidR="007B4AD1" w:rsidRDefault="007B4AD1" w:rsidP="007B4AD1">
      <w:pPr>
        <w:jc w:val="both"/>
        <w:rPr>
          <w:rFonts w:cs="Arial"/>
          <w:szCs w:val="24"/>
        </w:rPr>
      </w:pPr>
      <w:r w:rsidRPr="007B4AD1">
        <w:rPr>
          <w:rFonts w:cs="Arial"/>
          <w:szCs w:val="24"/>
        </w:rPr>
        <w:t xml:space="preserve">The idea that the age structure of the population might have a bearing on economic development emerged from the empirical observation of the post-war phase of rapid development in Europe and in Asia, notably Japan, and later South Korea, Taiwan, Hong Kong and Singapore </w:t>
      </w:r>
      <w:r w:rsidRPr="007B4AD1">
        <w:rPr>
          <w:rFonts w:cs="Arial"/>
          <w:szCs w:val="24"/>
        </w:rPr>
        <w:fldChar w:fldCharType="begin"/>
      </w:r>
      <w:r w:rsidR="005C6C38">
        <w:rPr>
          <w:rFonts w:cs="Arial"/>
          <w:szCs w:val="24"/>
        </w:rPr>
        <w:instrText xml:space="preserve"> ADDIN ZOTERO_ITEM CSL_CITATION {"citationID":"vLisAmFh","properties":{"formattedCitation":"(Bloom &amp; Williamson, 1998)","plainCitation":"(Bloom &amp; Williamson, 1998)","noteIndex":0},"citationItems":[{"id":682,"uris":["http://zotero.org/users/7533545/items/7RDH637E"],"itemData":{"id":682,"type":"article-journal","container-title":"The World Bank Economic Review","issue":"3","language":"en","page":"37","source":"Zotero","title":"Demographic Transitions and Economic Miracles in Emerging Asia","volume":"12","author":[{"family":"Bloom","given":"David E"},{"family":"Williamson","given":"Jeffrey G"}],"issued":{"date-parts":[["1998"]]}}}],"schema":"https://github.com/citation-style-language/schema/raw/master/csl-citation.json"} </w:instrText>
      </w:r>
      <w:r w:rsidRPr="007B4AD1">
        <w:rPr>
          <w:rFonts w:cs="Arial"/>
          <w:szCs w:val="24"/>
        </w:rPr>
        <w:fldChar w:fldCharType="separate"/>
      </w:r>
      <w:r w:rsidRPr="007B4AD1">
        <w:rPr>
          <w:rFonts w:cs="Arial"/>
          <w:noProof/>
          <w:szCs w:val="24"/>
        </w:rPr>
        <w:t>(Bloom &amp; Williamson, 1998)</w:t>
      </w:r>
      <w:r w:rsidRPr="007B4AD1">
        <w:rPr>
          <w:rFonts w:cs="Arial"/>
          <w:szCs w:val="24"/>
        </w:rPr>
        <w:fldChar w:fldCharType="end"/>
      </w:r>
      <w:r w:rsidRPr="007B4AD1">
        <w:rPr>
          <w:rFonts w:cs="Arial"/>
          <w:szCs w:val="24"/>
        </w:rPr>
        <w:t xml:space="preserve">. It was observed that there was a baby boom in many of the countries, which led to the increase in working age populations. </w:t>
      </w:r>
    </w:p>
    <w:p w14:paraId="1BEE84FC" w14:textId="77777777" w:rsidR="00A12150" w:rsidRPr="007B4AD1" w:rsidRDefault="00A12150" w:rsidP="007B4AD1">
      <w:pPr>
        <w:jc w:val="both"/>
        <w:rPr>
          <w:rFonts w:cs="Arial"/>
          <w:szCs w:val="24"/>
        </w:rPr>
      </w:pPr>
    </w:p>
    <w:p w14:paraId="05AF052A" w14:textId="287067BA" w:rsidR="007B4AD1" w:rsidRDefault="007B4AD1" w:rsidP="007B4AD1">
      <w:pPr>
        <w:jc w:val="both"/>
        <w:rPr>
          <w:rFonts w:cs="Arial"/>
          <w:szCs w:val="24"/>
        </w:rPr>
      </w:pPr>
      <w:r w:rsidRPr="007B4AD1">
        <w:rPr>
          <w:rFonts w:cs="Arial"/>
          <w:szCs w:val="24"/>
        </w:rPr>
        <w:t xml:space="preserve">The large increase in the working age populations in Asia and other countries in this period led to the phrase, “demographic gift” (ibid), later termed the “demographic dividend” to describe the large number of working age individuals in the population, relative to young and old dependents. </w:t>
      </w:r>
    </w:p>
    <w:p w14:paraId="7B481C8A" w14:textId="77777777" w:rsidR="00A12150" w:rsidRPr="007B4AD1" w:rsidRDefault="00A12150" w:rsidP="007B4AD1">
      <w:pPr>
        <w:jc w:val="both"/>
        <w:rPr>
          <w:rFonts w:cs="Arial"/>
          <w:szCs w:val="24"/>
        </w:rPr>
      </w:pPr>
    </w:p>
    <w:p w14:paraId="2665C851" w14:textId="187BCF66" w:rsidR="007B4AD1" w:rsidRDefault="007B4AD1" w:rsidP="007B4AD1">
      <w:pPr>
        <w:jc w:val="both"/>
        <w:rPr>
          <w:rFonts w:cs="Arial"/>
          <w:szCs w:val="24"/>
        </w:rPr>
      </w:pPr>
      <w:r w:rsidRPr="007B4AD1">
        <w:rPr>
          <w:rFonts w:cs="Arial"/>
          <w:szCs w:val="24"/>
        </w:rPr>
        <w:t xml:space="preserve">Decades on, countries around the world are experiencing dramatic changes in their demographics. Countries that experienced the large increase in working age populations were now experiencing a rapidly ageing population, with various policy issues arising. </w:t>
      </w:r>
    </w:p>
    <w:p w14:paraId="60D039DE" w14:textId="77777777" w:rsidR="00A12150" w:rsidRPr="007B4AD1" w:rsidRDefault="00A12150" w:rsidP="007B4AD1">
      <w:pPr>
        <w:jc w:val="both"/>
        <w:rPr>
          <w:rFonts w:cs="Arial"/>
          <w:szCs w:val="24"/>
        </w:rPr>
      </w:pPr>
    </w:p>
    <w:p w14:paraId="29C29DC6" w14:textId="49EB86FC" w:rsidR="007B4AD1" w:rsidRDefault="002C3D96" w:rsidP="007B4AD1">
      <w:pPr>
        <w:jc w:val="both"/>
        <w:rPr>
          <w:rFonts w:cs="Arial"/>
          <w:szCs w:val="24"/>
        </w:rPr>
      </w:pPr>
      <w:r>
        <w:rPr>
          <w:rFonts w:cs="Arial"/>
          <w:szCs w:val="24"/>
        </w:rPr>
        <w:t>In the context of these inquiries,</w:t>
      </w:r>
      <w:r w:rsidR="007B4AD1" w:rsidRPr="007B4AD1">
        <w:rPr>
          <w:rFonts w:cs="Arial"/>
          <w:szCs w:val="24"/>
        </w:rPr>
        <w:t xml:space="preserve"> Mason, Lee and others created the framework of National Transfer Accounts – a framework that adopts the pattern of the System of </w:t>
      </w:r>
      <w:r w:rsidR="007B4AD1" w:rsidRPr="007B4AD1">
        <w:rPr>
          <w:rFonts w:cs="Arial"/>
          <w:szCs w:val="24"/>
        </w:rPr>
        <w:lastRenderedPageBreak/>
        <w:t xml:space="preserve">National Accounts to look at the generational life-cycle. Lee, Mason, and Miller looked at how demographic transitions might impact savings rate </w:t>
      </w:r>
      <w:r w:rsidR="007B4AD1" w:rsidRPr="007B4AD1">
        <w:rPr>
          <w:rFonts w:cs="Arial"/>
          <w:szCs w:val="24"/>
        </w:rPr>
        <w:fldChar w:fldCharType="begin"/>
      </w:r>
      <w:r w:rsidR="005C6C38">
        <w:rPr>
          <w:rFonts w:cs="Arial"/>
          <w:szCs w:val="24"/>
        </w:rPr>
        <w:instrText xml:space="preserve"> ADDIN ZOTERO_ITEM CSL_CITATION {"citationID":"J8RjIuiy","properties":{"formattedCitation":"(Lee et al., 1998)","plainCitation":"(Lee et al., 1998)","noteIndex":0},"citationItems":[{"id":707,"uris":["http://zotero.org/users/7533545/items/LZDH3A2X"],"itemData":{"id":707,"type":"article-journal","language":"en","page":"23","source":"Zotero","title":"Life Cycle Saving and the Demographic Transition in East Asia","author":[{"family":"Lee","given":"Ronald"},{"family":"Mason","given":"Andrew"},{"family":"Miller","given":"Timothy"}],"issued":{"date-parts":[["1998"]]}}}],"schema":"https://github.com/citation-style-language/schema/raw/master/csl-citation.json"} </w:instrText>
      </w:r>
      <w:r w:rsidR="007B4AD1" w:rsidRPr="007B4AD1">
        <w:rPr>
          <w:rFonts w:cs="Arial"/>
          <w:szCs w:val="24"/>
        </w:rPr>
        <w:fldChar w:fldCharType="separate"/>
      </w:r>
      <w:r w:rsidR="007B4AD1" w:rsidRPr="007B4AD1">
        <w:rPr>
          <w:rFonts w:cs="Arial"/>
          <w:noProof/>
          <w:szCs w:val="24"/>
        </w:rPr>
        <w:t>(Lee et al., 1998)</w:t>
      </w:r>
      <w:r w:rsidR="007B4AD1" w:rsidRPr="007B4AD1">
        <w:rPr>
          <w:rFonts w:cs="Arial"/>
          <w:szCs w:val="24"/>
        </w:rPr>
        <w:fldChar w:fldCharType="end"/>
      </w:r>
      <w:r w:rsidR="007B4AD1" w:rsidRPr="007B4AD1">
        <w:rPr>
          <w:rFonts w:cs="Arial"/>
          <w:szCs w:val="24"/>
        </w:rPr>
        <w:t xml:space="preserve">. As the number of young dependents decline, savings increase as people rely more on their labour income for retirement.  </w:t>
      </w:r>
      <w:r w:rsidR="007B4AD1" w:rsidRPr="007B4AD1">
        <w:rPr>
          <w:rFonts w:cs="Arial"/>
          <w:szCs w:val="24"/>
        </w:rPr>
        <w:fldChar w:fldCharType="begin"/>
      </w:r>
      <w:r w:rsidR="005C6C38">
        <w:rPr>
          <w:rFonts w:cs="Arial"/>
          <w:szCs w:val="24"/>
        </w:rPr>
        <w:instrText xml:space="preserve"> ADDIN ZOTERO_ITEM CSL_CITATION {"citationID":"abtEUJvo","properties":{"formattedCitation":"(Lee et al., 2006)","plainCitation":"(Lee et al., 2006)","noteIndex":0},"citationItems":[{"id":709,"uris":["http://zotero.org/users/7533545/items/WQNL4RLD"],"itemData":{"id":709,"type":"article-journal","abstract":"Understanding the economic lifecycle – how it varies and why – is important in its own right, but is also critical to understanding how changes in population age structure influence many features of the macroeconomy. Economic behavior over the life cycle can be summarized by the average levels of consumption and labor earnings at each age, as shaped by biology, culture, institutions and individual choice. Here we present estimates of these in detail for the US and Taiwan, showing the roles played by public and familial transfer systems as well as asset accumulation, and present more basic profiles for selected additional countries drawing on studies from a larger project. Average economic dependency occurs when consumption exceeds labor earnings, typically in childhood and old age. A changing population age distribution alters the relative numbers of weighted consumers and producers, as summarized by the support ratio. The “demographic dividend” occurs during a sustained period of improving support ratios during the demographic transition, as can be shown using these profiles. The estimated cross-sectional age profiles of labor income have a broadly similar hump shape. However, there are striking contrasts in the timing of earnings over the life cycle. The consumption profiles reveal even more striking contrasts, with a flat age profile of total adult consumption in Taiwan and a steeply rising one in the U.S. We believe these differences reflect the extended family versus the state as the primary locus of transfers to the elderly. Profiles for private consumption are also quite variable, with Indonesia peaking early around age 25, Taiwan being essentially flat, and the US peaking late at around 55. Private expenditures on education show wide variations, with unusually high expenditures in some Asian countries. Because of possible public-private substitutions, it is questionable to assign causality to either for differences in total consumption, but it is hard to avoid noticing that without public spending on Medicare and institutional Medicaid in the U.S., total consumption would decline after 55, whereas with them, it rises strongly. There is only a short period of life during which production exceeds consumption barely more than 30 years in the US, Taiwan, and Thailand. The brevity of this phase contrasts sharply with high life expectancy, approaching 80 years in many countries.","container-title":"NBER Working Paper Series","language":"en","page":"32","source":"Zotero","title":"Charting the Economic Life Cycle","volume":"12379","author":[{"family":"Lee","given":"Ronald"},{"family":"Lee","given":"Sang-Hyop"},{"family":"Mason","given":"Andrew"}],"issued":{"date-parts":[["2006"]]}}}],"schema":"https://github.com/citation-style-language/schema/raw/master/csl-citation.json"} </w:instrText>
      </w:r>
      <w:r w:rsidR="007B4AD1" w:rsidRPr="007B4AD1">
        <w:rPr>
          <w:rFonts w:cs="Arial"/>
          <w:szCs w:val="24"/>
        </w:rPr>
        <w:fldChar w:fldCharType="separate"/>
      </w:r>
      <w:r w:rsidR="007B4AD1" w:rsidRPr="007B4AD1">
        <w:rPr>
          <w:rFonts w:cs="Arial"/>
          <w:noProof/>
          <w:szCs w:val="24"/>
        </w:rPr>
        <w:t>(Lee et al., 2006)</w:t>
      </w:r>
      <w:r w:rsidR="007B4AD1" w:rsidRPr="007B4AD1">
        <w:rPr>
          <w:rFonts w:cs="Arial"/>
          <w:szCs w:val="24"/>
        </w:rPr>
        <w:fldChar w:fldCharType="end"/>
      </w:r>
      <w:r w:rsidR="007B4AD1" w:rsidRPr="007B4AD1">
        <w:rPr>
          <w:rFonts w:cs="Arial"/>
          <w:szCs w:val="24"/>
        </w:rPr>
        <w:t xml:space="preserve">. The National Transfer Accounts look at income and consumption throughout every year of life, with information coming from various national surveys, administrative data from government agencies, government budgetary documents, and other sources. </w:t>
      </w:r>
    </w:p>
    <w:p w14:paraId="1CCE5B92" w14:textId="77777777" w:rsidR="00A12150" w:rsidRPr="007B4AD1" w:rsidRDefault="00A12150" w:rsidP="007B4AD1">
      <w:pPr>
        <w:jc w:val="both"/>
        <w:rPr>
          <w:rFonts w:cs="Arial"/>
          <w:szCs w:val="24"/>
        </w:rPr>
      </w:pPr>
    </w:p>
    <w:p w14:paraId="2A2B804F" w14:textId="339BA53D" w:rsidR="007B4AD1" w:rsidRDefault="007B4AD1" w:rsidP="007B4AD1">
      <w:pPr>
        <w:jc w:val="both"/>
        <w:rPr>
          <w:rFonts w:cs="Arial"/>
          <w:szCs w:val="24"/>
        </w:rPr>
      </w:pPr>
      <w:r w:rsidRPr="007B4AD1">
        <w:rPr>
          <w:rFonts w:cs="Arial"/>
          <w:szCs w:val="24"/>
        </w:rPr>
        <w:t xml:space="preserve">From the National Transfer Accounts, an alternative to the support ratio could be obtained by looking at the ratio of effective producers and effective consumers. This ratio, known as the economic support ratio (ESR) would be a better indicator for the economic potential of a country, given its demographic situation. </w:t>
      </w:r>
    </w:p>
    <w:p w14:paraId="751EEDA6" w14:textId="77777777" w:rsidR="00A12150" w:rsidRPr="007B4AD1" w:rsidRDefault="00A12150" w:rsidP="007B4AD1">
      <w:pPr>
        <w:jc w:val="both"/>
        <w:rPr>
          <w:rFonts w:cs="Arial"/>
          <w:szCs w:val="24"/>
        </w:rPr>
      </w:pPr>
    </w:p>
    <w:p w14:paraId="61E62632" w14:textId="1AC90614" w:rsidR="007B4AD1" w:rsidRDefault="007B4AD1" w:rsidP="007B4AD1">
      <w:pPr>
        <w:jc w:val="both"/>
        <w:rPr>
          <w:rFonts w:cs="Arial"/>
          <w:szCs w:val="24"/>
        </w:rPr>
      </w:pPr>
      <w:r w:rsidRPr="007B4AD1">
        <w:rPr>
          <w:rFonts w:cs="Arial"/>
          <w:szCs w:val="24"/>
        </w:rPr>
        <w:t>As mentioned, th</w:t>
      </w:r>
      <w:r w:rsidR="00AD3C70">
        <w:rPr>
          <w:rFonts w:cs="Arial"/>
          <w:szCs w:val="24"/>
        </w:rPr>
        <w:t>is</w:t>
      </w:r>
      <w:r w:rsidRPr="007B4AD1">
        <w:rPr>
          <w:rFonts w:cs="Arial"/>
          <w:szCs w:val="24"/>
        </w:rPr>
        <w:t xml:space="preserve"> work can be situated within the context of the discussion as to the sources of ESR changes in a country over time – whether education or age structure has an impact on growth or the ESR. </w:t>
      </w:r>
    </w:p>
    <w:p w14:paraId="319DC1D8" w14:textId="77777777" w:rsidR="00A12150" w:rsidRPr="007B4AD1" w:rsidRDefault="00A12150" w:rsidP="007B4AD1">
      <w:pPr>
        <w:jc w:val="both"/>
        <w:rPr>
          <w:rFonts w:cs="Arial"/>
          <w:szCs w:val="24"/>
        </w:rPr>
      </w:pPr>
    </w:p>
    <w:p w14:paraId="555441A7" w14:textId="0C2242F4" w:rsidR="007B4AD1" w:rsidRDefault="007B4AD1" w:rsidP="007B4AD1">
      <w:pPr>
        <w:jc w:val="both"/>
        <w:rPr>
          <w:rFonts w:cs="Arial"/>
          <w:szCs w:val="24"/>
        </w:rPr>
      </w:pPr>
      <w:r w:rsidRPr="007B4AD1">
        <w:rPr>
          <w:rFonts w:cs="Arial"/>
          <w:szCs w:val="24"/>
        </w:rPr>
        <w:t xml:space="preserve">Even though some of these arguments are rooted in historical trends, they hold implications for population and education policy. If it was demonstrated that age structure effects were more dominant in influencing economic support ratio, it would mean that the period of rapid ageing that many advanced and developing countries were facing would inevitably lead to a decline in economic performance over time, and policies would ostensibly be designed to reduce the impact of such an outcome. If on the other hand, demographic factors were not dominant, and that other factors such </w:t>
      </w:r>
      <w:r w:rsidRPr="007B4AD1">
        <w:rPr>
          <w:rFonts w:cs="Arial"/>
          <w:szCs w:val="24"/>
        </w:rPr>
        <w:lastRenderedPageBreak/>
        <w:t xml:space="preserve">as education/human capital was just as important, then it would lead policy makers towards other actions that might address the effects of an ageing population. </w:t>
      </w:r>
    </w:p>
    <w:p w14:paraId="196F490F" w14:textId="77777777" w:rsidR="00A12150" w:rsidRPr="007B4AD1" w:rsidRDefault="00A12150" w:rsidP="007B4AD1">
      <w:pPr>
        <w:jc w:val="both"/>
        <w:rPr>
          <w:rFonts w:cs="Arial"/>
          <w:szCs w:val="24"/>
        </w:rPr>
      </w:pPr>
    </w:p>
    <w:p w14:paraId="1C677651" w14:textId="153EAAA4" w:rsidR="007B4AD1" w:rsidRDefault="007B4AD1" w:rsidP="007B4AD1">
      <w:pPr>
        <w:jc w:val="both"/>
        <w:rPr>
          <w:rFonts w:cs="Arial"/>
          <w:szCs w:val="24"/>
        </w:rPr>
      </w:pPr>
      <w:r w:rsidRPr="007B4AD1">
        <w:rPr>
          <w:rFonts w:cs="Arial"/>
          <w:szCs w:val="24"/>
        </w:rPr>
        <w:t xml:space="preserve">The idea that education or human capital might have some contribution to economic growth comes from the idea of total factor productivity – the residual after accounting for population growth and capital investments. Bloom and Williamson </w:t>
      </w:r>
      <w:r w:rsidRPr="007B4AD1">
        <w:rPr>
          <w:rFonts w:cs="Arial"/>
          <w:szCs w:val="24"/>
        </w:rPr>
        <w:fldChar w:fldCharType="begin"/>
      </w:r>
      <w:r w:rsidR="005C6C38">
        <w:rPr>
          <w:rFonts w:cs="Arial"/>
          <w:szCs w:val="24"/>
        </w:rPr>
        <w:instrText xml:space="preserve"> ADDIN ZOTERO_ITEM CSL_CITATION {"citationID":"H2ln2XEP","properties":{"formattedCitation":"(Bloom &amp; Williamson, 1998)","plainCitation":"(Bloom &amp; Williamson, 1998)","dontUpdate":true,"noteIndex":0},"citationItems":[{"id":682,"uris":["http://zotero.org/users/7533545/items/7RDH637E"],"itemData":{"id":682,"type":"article-journal","container-title":"The World Bank Economic Review","issue":"3","language":"en","page":"37","source":"Zotero","title":"Demographic Transitions and Economic Miracles in Emerging Asia","volume":"12","author":[{"family":"Bloom","given":"David E"},{"family":"Williamson","given":"Jeffrey G"}],"issued":{"date-parts":[["1998"]]}}}],"schema":"https://github.com/citation-style-language/schema/raw/master/csl-citation.json"} </w:instrText>
      </w:r>
      <w:r w:rsidRPr="007B4AD1">
        <w:rPr>
          <w:rFonts w:cs="Arial"/>
          <w:szCs w:val="24"/>
        </w:rPr>
        <w:fldChar w:fldCharType="separate"/>
      </w:r>
      <w:r w:rsidRPr="007B4AD1">
        <w:rPr>
          <w:rFonts w:cs="Arial"/>
          <w:noProof/>
          <w:szCs w:val="24"/>
        </w:rPr>
        <w:t>(1998)</w:t>
      </w:r>
      <w:r w:rsidRPr="007B4AD1">
        <w:rPr>
          <w:rFonts w:cs="Arial"/>
          <w:szCs w:val="24"/>
        </w:rPr>
        <w:fldChar w:fldCharType="end"/>
      </w:r>
      <w:r w:rsidRPr="007B4AD1">
        <w:rPr>
          <w:rFonts w:cs="Arial"/>
          <w:szCs w:val="24"/>
        </w:rPr>
        <w:t xml:space="preserve"> attributed the Asian economic “miracles” to favourable demographics. </w:t>
      </w:r>
      <w:proofErr w:type="spellStart"/>
      <w:r w:rsidRPr="007B4AD1">
        <w:rPr>
          <w:rFonts w:cs="Arial"/>
          <w:szCs w:val="24"/>
        </w:rPr>
        <w:t>Benhabib</w:t>
      </w:r>
      <w:proofErr w:type="spellEnd"/>
      <w:r w:rsidRPr="007B4AD1">
        <w:rPr>
          <w:rFonts w:cs="Arial"/>
          <w:szCs w:val="24"/>
        </w:rPr>
        <w:t xml:space="preserve"> and Spiegel </w:t>
      </w:r>
      <w:r w:rsidRPr="007B4AD1">
        <w:rPr>
          <w:rFonts w:cs="Arial"/>
          <w:szCs w:val="24"/>
        </w:rPr>
        <w:fldChar w:fldCharType="begin"/>
      </w:r>
      <w:r w:rsidR="005C6C38">
        <w:rPr>
          <w:rFonts w:cs="Arial"/>
          <w:szCs w:val="24"/>
        </w:rPr>
        <w:instrText xml:space="preserve"> ADDIN ZOTERO_ITEM CSL_CITATION {"citationID":"mV8qKzJD","properties":{"formattedCitation":"(Benhabib &amp; Spiegel, 1994)","plainCitation":"(Benhabib &amp; Spiegel, 1994)","dontUpdate":true,"noteIndex":0},"citationItems":[{"id":686,"uris":["http://zotero.org/users/7533545/items/HZSRKR5K"],"itemData":{"id":686,"type":"article-journal","abstract":"Using cross-country estimates of physical and human capital stocks, we run the growth accounting regressions implied by a CobbPDouglas aggregate production function. Our results indicate that human capital enters insignificantly in explaining per capita growth rates. We next specify an alternative model in which the growth rate of total factor productivity depends on a nation’s human capital stock level. Tests of this specification do indicate a positive role for human capital.","container-title":"Journal of Monetary Economics","DOI":"10.1016/0304-3932(94)90047-7","ISSN":"03043932","issue":"2","journalAbbreviation":"Journal of Monetary Economics","language":"en","page":"143-173","source":"DOI.org (Crossref)","title":"The role of human capital in economic development evidence from aggregate cross-country data","volume":"34","author":[{"family":"Benhabib","given":"Jess"},{"family":"Spiegel","given":"Mark M."}],"issued":{"date-parts":[["1994",10]]}}}],"schema":"https://github.com/citation-style-language/schema/raw/master/csl-citation.json"} </w:instrText>
      </w:r>
      <w:r w:rsidRPr="007B4AD1">
        <w:rPr>
          <w:rFonts w:cs="Arial"/>
          <w:szCs w:val="24"/>
        </w:rPr>
        <w:fldChar w:fldCharType="separate"/>
      </w:r>
      <w:r w:rsidRPr="007B4AD1">
        <w:rPr>
          <w:rFonts w:cs="Arial"/>
          <w:noProof/>
          <w:szCs w:val="24"/>
        </w:rPr>
        <w:t>(1994)</w:t>
      </w:r>
      <w:r w:rsidRPr="007B4AD1">
        <w:rPr>
          <w:rFonts w:cs="Arial"/>
          <w:szCs w:val="24"/>
        </w:rPr>
        <w:fldChar w:fldCharType="end"/>
      </w:r>
      <w:r w:rsidRPr="007B4AD1">
        <w:rPr>
          <w:rFonts w:cs="Arial"/>
          <w:szCs w:val="24"/>
        </w:rPr>
        <w:t xml:space="preserve"> found that although education levels had no</w:t>
      </w:r>
      <w:r w:rsidR="00684F4A">
        <w:rPr>
          <w:rFonts w:cs="Arial"/>
          <w:szCs w:val="24"/>
        </w:rPr>
        <w:t xml:space="preserve"> direct</w:t>
      </w:r>
      <w:r w:rsidRPr="007B4AD1">
        <w:rPr>
          <w:rFonts w:cs="Arial"/>
          <w:szCs w:val="24"/>
        </w:rPr>
        <w:t xml:space="preserve"> correlation with economic growth, human capital did have contributions towards total factor productivity. </w:t>
      </w:r>
    </w:p>
    <w:p w14:paraId="4192DC77" w14:textId="77777777" w:rsidR="00A12150" w:rsidRPr="007B4AD1" w:rsidRDefault="00A12150" w:rsidP="007B4AD1">
      <w:pPr>
        <w:jc w:val="both"/>
        <w:rPr>
          <w:rFonts w:cs="Arial"/>
          <w:szCs w:val="24"/>
        </w:rPr>
      </w:pPr>
    </w:p>
    <w:p w14:paraId="4832C250" w14:textId="7E431AEA" w:rsidR="007B4AD1" w:rsidRDefault="007B4AD1" w:rsidP="007B4AD1">
      <w:pPr>
        <w:jc w:val="both"/>
        <w:rPr>
          <w:rFonts w:cs="Arial"/>
          <w:szCs w:val="24"/>
        </w:rPr>
      </w:pPr>
      <w:r w:rsidRPr="007B4AD1">
        <w:rPr>
          <w:rFonts w:cs="Arial"/>
          <w:szCs w:val="24"/>
        </w:rPr>
        <w:t xml:space="preserve">The relationship between economic growth, demography and education remains a contested one. Lutz et al. made suggestions about boosting primary and secondary levels of education for economic growth </w:t>
      </w:r>
      <w:r w:rsidRPr="007B4AD1">
        <w:rPr>
          <w:rFonts w:cs="Arial"/>
          <w:szCs w:val="24"/>
        </w:rPr>
        <w:fldChar w:fldCharType="begin"/>
      </w:r>
      <w:r w:rsidR="005C6C38">
        <w:rPr>
          <w:rFonts w:cs="Arial"/>
          <w:szCs w:val="24"/>
        </w:rPr>
        <w:instrText xml:space="preserve"> ADDIN ZOTERO_ITEM CSL_CITATION {"citationID":"812cmCKE","properties":{"formattedCitation":"(Lutz et al., 2008)","plainCitation":"(Lutz et al., 2008)","dontUpdate":true,"noteIndex":0},"citationItems":[{"id":693,"uris":["http://zotero.org/users/7533545/items/QKPBZZU2"],"itemData":{"id":693,"type":"article-journal","container-title":"Science","DOI":"10.1126/science.1151753","ISSN":"0036-8075, 1095-9203","issue":"5866","journalAbbreviation":"Science","language":"en","page":"1047-1048","source":"DOI.org (Crossref)","title":"The Demography of Educational Attainment and Economic Growth","volume":"319","author":[{"family":"Lutz","given":"Wolfgang"},{"family":"Cuaresma","given":"Jesus Crespo"},{"family":"Sanderson","given":"Warren"}],"issued":{"date-parts":[["2008",2,22]]}}}],"schema":"https://github.com/citation-style-language/schema/raw/master/csl-citation.json"} </w:instrText>
      </w:r>
      <w:r w:rsidRPr="007B4AD1">
        <w:rPr>
          <w:rFonts w:cs="Arial"/>
          <w:szCs w:val="24"/>
        </w:rPr>
        <w:fldChar w:fldCharType="separate"/>
      </w:r>
      <w:r w:rsidRPr="007B4AD1">
        <w:rPr>
          <w:rFonts w:cs="Arial"/>
          <w:noProof/>
          <w:szCs w:val="24"/>
        </w:rPr>
        <w:t>(2008)</w:t>
      </w:r>
      <w:r w:rsidRPr="007B4AD1">
        <w:rPr>
          <w:rFonts w:cs="Arial"/>
          <w:szCs w:val="24"/>
        </w:rPr>
        <w:fldChar w:fldCharType="end"/>
      </w:r>
      <w:r w:rsidRPr="007B4AD1">
        <w:rPr>
          <w:rFonts w:cs="Arial"/>
          <w:szCs w:val="24"/>
        </w:rPr>
        <w:t xml:space="preserve"> from models based on data from the International Institute for Applied Systems Analysis-Vienna Institute of Demography (IIASA-VID). They estimated that boosting the levels of education to secondary level and primary would increase growth more so than concentrating education policies at the tertiary level alone. </w:t>
      </w:r>
      <w:r w:rsidRPr="007B4AD1">
        <w:rPr>
          <w:rFonts w:cs="Arial"/>
          <w:szCs w:val="24"/>
        </w:rPr>
        <w:fldChar w:fldCharType="begin"/>
      </w:r>
      <w:r w:rsidR="005C6C38">
        <w:rPr>
          <w:rFonts w:cs="Arial"/>
          <w:szCs w:val="24"/>
        </w:rPr>
        <w:instrText xml:space="preserve"> ADDIN ZOTERO_ITEM CSL_CITATION {"citationID":"drO8HVVA","properties":{"formattedCitation":"(Lutz &amp; Kc, 2011)","plainCitation":"(Lutz &amp; Kc, 2011)","dontUpdate":true,"noteIndex":0},"citationItems":[{"id":687,"uris":["http://zotero.org/users/7533545/items/KDJPSMQX"],"itemData":{"id":687,"type":"article-journal","abstract":"Almost universally, women with higher levels of education have fewer children. Better education is associated with lower mortality, better health, and different migration patterns. Hence, the global population outlook depends greatly on further progress in education, particularly of young women. By 2050, the highest and lowest education scenarios—assuming identical education-specific fertility rates—result in world population sizes of 8.9 and 10.0 billion, respectively. Better education also matters for human development, including health, economic growth, and democracy. Existing methods of multi-state demography can quantitatively integrate education into standard demographic analysis, thus adding the “quality” dimension.","container-title":"Science","DOI":"10.1126/science.1206964","ISSN":"0036-8075, 1095-9203","issue":"6042","journalAbbreviation":"Science","language":"en","page":"587-592","source":"DOI.org (Crossref)","title":"Global Human Capital: Integrating Education and Population","title-short":"Global Human Capital","volume":"333","author":[{"family":"Lutz","given":"Wolfgang"},{"family":"Kc","given":"Samir"}],"issued":{"date-parts":[["2011",7,29]]}}}],"schema":"https://github.com/citation-style-language/schema/raw/master/csl-citation.json"} </w:instrText>
      </w:r>
      <w:r w:rsidRPr="007B4AD1">
        <w:rPr>
          <w:rFonts w:cs="Arial"/>
          <w:szCs w:val="24"/>
        </w:rPr>
        <w:fldChar w:fldCharType="separate"/>
      </w:r>
      <w:r w:rsidRPr="007B4AD1">
        <w:rPr>
          <w:rFonts w:cs="Arial"/>
          <w:noProof/>
          <w:szCs w:val="24"/>
        </w:rPr>
        <w:t>Lutz and Samir (2011)</w:t>
      </w:r>
      <w:r w:rsidRPr="007B4AD1">
        <w:rPr>
          <w:rFonts w:cs="Arial"/>
          <w:szCs w:val="24"/>
        </w:rPr>
        <w:fldChar w:fldCharType="end"/>
      </w:r>
      <w:r w:rsidRPr="007B4AD1">
        <w:rPr>
          <w:rFonts w:cs="Arial"/>
          <w:szCs w:val="24"/>
        </w:rPr>
        <w:t xml:space="preserve"> argue for the importance of education in demography. They point out that high levels of education are correlated to lower mortality rates. Women with greater education also have lower rates of fertility. Crespo </w:t>
      </w:r>
      <w:proofErr w:type="spellStart"/>
      <w:r w:rsidRPr="007B4AD1">
        <w:rPr>
          <w:rFonts w:cs="Arial"/>
          <w:szCs w:val="24"/>
        </w:rPr>
        <w:t>Cuaresma</w:t>
      </w:r>
      <w:proofErr w:type="spellEnd"/>
      <w:r w:rsidRPr="007B4AD1">
        <w:rPr>
          <w:rFonts w:cs="Arial"/>
          <w:szCs w:val="24"/>
        </w:rPr>
        <w:t xml:space="preserve"> et. al. </w:t>
      </w:r>
      <w:r w:rsidRPr="007B4AD1">
        <w:rPr>
          <w:rFonts w:cs="Arial"/>
          <w:szCs w:val="24"/>
        </w:rPr>
        <w:fldChar w:fldCharType="begin"/>
      </w:r>
      <w:r w:rsidR="005C6C38">
        <w:rPr>
          <w:rFonts w:cs="Arial"/>
          <w:szCs w:val="24"/>
        </w:rPr>
        <w:instrText xml:space="preserve"> ADDIN ZOTERO_ITEM CSL_CITATION {"citationID":"4Ww9MjQ3","properties":{"formattedCitation":"(Crespo Cuaresma et al., 2014)","plainCitation":"(Crespo Cuaresma et al., 2014)","dontUpdate":true,"noteIndex":0},"citationItems":[{"id":692,"uris":["http://zotero.org/users/7533545/items/4DZ7PU6D"],"itemData":{"id":692,"type":"article-journal","abstract":"The effect of changes in age structure on economic growth has been widely studied in the demography and population economics literature. The beneficial effect of changes in age structure after a decrease in fertility has become known as the “demographic dividend.” In this article, we reassess the empirical evidence on the associations among economic growth, changes in age structure, labor force participation, and educational attainment. Using a global panel of countries, we find that after the effect of human capital dynamics is controlled for, no evidence exists that changes in age structure affect labor productivity. Our results imply that improvements in educational attainment are the key to explaining productivity and income growth and that a substantial portion of the demographic dividend is an education dividend.","container-title":"Demography","DOI":"10.1007/s13524-013-0245-x","ISSN":"0070-3370, 1533-7790","issue":"1","language":"en","page":"299-315","source":"DOI.org (Crossref)","title":"Is the Demographic Dividend an Education Dividend?","volume":"51","author":[{"family":"Crespo Cuaresma","given":"Jesús"},{"family":"Lutz","given":"Wolfgang"},{"family":"Sanderson","given":"Warren"}],"issued":{"date-parts":[["2014",2,1]]}}}],"schema":"https://github.com/citation-style-language/schema/raw/master/csl-citation.json"} </w:instrText>
      </w:r>
      <w:r w:rsidRPr="007B4AD1">
        <w:rPr>
          <w:rFonts w:cs="Arial"/>
          <w:szCs w:val="24"/>
        </w:rPr>
        <w:fldChar w:fldCharType="separate"/>
      </w:r>
      <w:r w:rsidRPr="007B4AD1">
        <w:rPr>
          <w:rFonts w:cs="Arial"/>
          <w:noProof/>
          <w:szCs w:val="24"/>
        </w:rPr>
        <w:t>(2014)</w:t>
      </w:r>
      <w:r w:rsidRPr="007B4AD1">
        <w:rPr>
          <w:rFonts w:cs="Arial"/>
          <w:szCs w:val="24"/>
        </w:rPr>
        <w:fldChar w:fldCharType="end"/>
      </w:r>
      <w:r w:rsidRPr="007B4AD1">
        <w:rPr>
          <w:rFonts w:cs="Arial"/>
          <w:szCs w:val="24"/>
        </w:rPr>
        <w:t xml:space="preserve"> argued that the demographic dividend was mostly due to education. Lutz et al. </w:t>
      </w:r>
      <w:r w:rsidRPr="007B4AD1">
        <w:rPr>
          <w:rFonts w:cs="Arial"/>
          <w:szCs w:val="24"/>
        </w:rPr>
        <w:fldChar w:fldCharType="begin"/>
      </w:r>
      <w:r w:rsidR="005C6C38">
        <w:rPr>
          <w:rFonts w:cs="Arial"/>
          <w:szCs w:val="24"/>
        </w:rPr>
        <w:instrText xml:space="preserve"> ADDIN ZOTERO_ITEM CSL_CITATION {"citationID":"WhlwbbqO","properties":{"formattedCitation":"(Lutz et al., 2019)","plainCitation":"(Lutz et al., 2019)","dontUpdate":true,"noteIndex":0},"citationItems":[{"id":695,"uris":["http://zotero.org/users/7533545/items/7IYQFX7F"],"itemData":{"id":695,"type":"article-journal","abstract":"Significance\n            Global environmental change and discussions about the drivers of international migration lead to renewed interest in population growth and global demographic change. The notion of the demographic dividend was introduced to highlight the benefits of fertility decline, yet, among African leaders, it is also often interpreted as describing the benefits of their youthful populations. Due to its controversial nature, the topic of population was not explicitly included in the Sustainable Development Goals. In this controversial discussion, this paper provides a systematic reassessment about what aspects of demographic change have beneficial consequences for economic growth and sustainable development.\n          , \n            The relationship between population changes and economic growth has been debated since Malthus. Initially focusing on population growth, the notion of demographic dividend has shifted the attention to changes in age structures with an assumed window of opportunity that opens when falling birth rates lead to a relatively higher proportion of the working-age population. This has become the dominant paradigm in the field of population and development, and an advocacy tool for highlighting the benefits of family planning and fertility decline. While this view acknowledges that the dividend can only be realized if associated with investments in human capital, its causal trigger is still seen in exogenous fertility decline. In contrast, unified growth theory has established human capital as a trigger of both demographic transition and economic growth. We assess the relative importance of changing age structure and increasing human capital for economic growth for a panel of 165 countries during the time period of 1980–2015. The results show a clear dominance of improving education over age structure and give evidence that the demographic dividend is driven by human capital. Declining youth dependency ratios even show negative impacts on income growth when combined with low education. Based on a multidimensional understanding of demography that considers education in addition to age, and with a view to the additional effects of education on health and general resilience, we conclude that the true demographic dividend is a human capital dividend. Global population policies should thus focus on strengthening the human resource base for sustainable development.","container-title":"Proceedings of the National Academy of Sciences","DOI":"10.1073/pnas.1820362116","ISSN":"0027-8424, 1091-6490","issue":"26","journalAbbreviation":"Proc. Natl. Acad. Sci. U.S.A.","language":"en","page":"12798-12803","source":"DOI.org (Crossref)","title":"Education rather than age structure brings demographic dividend","volume":"116","author":[{"family":"Lutz","given":"Wolfgang"},{"family":"Crespo Cuaresma","given":"Jesus"},{"family":"Kebede","given":"Endale"},{"family":"Prskawetz","given":"Alexia"},{"family":"Sanderson","given":"Warren C."},{"family":"Striessnig","given":"Erich"}],"issued":{"date-parts":[["2019",6,25]]}}}],"schema":"https://github.com/citation-style-language/schema/raw/master/csl-citation.json"} </w:instrText>
      </w:r>
      <w:r w:rsidRPr="007B4AD1">
        <w:rPr>
          <w:rFonts w:cs="Arial"/>
          <w:szCs w:val="24"/>
        </w:rPr>
        <w:fldChar w:fldCharType="separate"/>
      </w:r>
      <w:r w:rsidRPr="007B4AD1">
        <w:rPr>
          <w:rFonts w:cs="Arial"/>
          <w:noProof/>
          <w:szCs w:val="24"/>
        </w:rPr>
        <w:t>( 2019)</w:t>
      </w:r>
      <w:r w:rsidRPr="007B4AD1">
        <w:rPr>
          <w:rFonts w:cs="Arial"/>
          <w:szCs w:val="24"/>
        </w:rPr>
        <w:fldChar w:fldCharType="end"/>
      </w:r>
      <w:r w:rsidRPr="007B4AD1">
        <w:rPr>
          <w:rFonts w:cs="Arial"/>
          <w:szCs w:val="24"/>
        </w:rPr>
        <w:t xml:space="preserve"> argue that the demographic dividend in many advanced countries was due to education as well. </w:t>
      </w:r>
    </w:p>
    <w:p w14:paraId="109EEB11" w14:textId="77777777" w:rsidR="00A12150" w:rsidRPr="007B4AD1" w:rsidRDefault="00A12150" w:rsidP="007B4AD1">
      <w:pPr>
        <w:jc w:val="both"/>
        <w:rPr>
          <w:rFonts w:cs="Arial"/>
          <w:szCs w:val="24"/>
        </w:rPr>
      </w:pPr>
    </w:p>
    <w:p w14:paraId="5E555C70" w14:textId="37462DE9" w:rsidR="007B4AD1" w:rsidRDefault="007B4AD1" w:rsidP="007B4AD1">
      <w:pPr>
        <w:jc w:val="both"/>
        <w:rPr>
          <w:rFonts w:cs="Arial"/>
          <w:szCs w:val="24"/>
        </w:rPr>
      </w:pPr>
      <w:r w:rsidRPr="007B4AD1">
        <w:rPr>
          <w:rFonts w:cs="Arial"/>
          <w:szCs w:val="24"/>
        </w:rPr>
        <w:lastRenderedPageBreak/>
        <w:t xml:space="preserve">Although there have been efforts by researchers to make strong connections between the demographic dividend and education attainment, there are works that point in different directions, suggesting that there are interactions that are complex and not reducible to either education or demographics. </w:t>
      </w:r>
      <w:r w:rsidRPr="007B4AD1">
        <w:rPr>
          <w:rFonts w:cs="Arial"/>
          <w:szCs w:val="24"/>
        </w:rPr>
        <w:fldChar w:fldCharType="begin"/>
      </w:r>
      <w:r w:rsidR="005C6C38">
        <w:rPr>
          <w:rFonts w:cs="Arial"/>
          <w:szCs w:val="24"/>
        </w:rPr>
        <w:instrText xml:space="preserve"> ADDIN ZOTERO_ITEM CSL_CITATION {"citationID":"RTFjgozW","properties":{"formattedCitation":"(Kotschy &amp; Sunde, n.d.)","plainCitation":"(Kotschy &amp; Sunde, n.d.)","dontUpdate":true,"noteIndex":0},"citationItems":[{"id":723,"uris":["http://zotero.org/users/7533545/items/UCJXAGI7"],"itemData":{"id":723,"type":"article-journal","container-title":"Economic Policy","issue":"33","page":"587-634","title":"Education and ageing","volume":"96","author":[{"family":"Kotschy","given":"Rainer"},{"family":"Sunde","given":"Uwe"}]}}],"schema":"https://github.com/citation-style-language/schema/raw/master/csl-citation.json"} </w:instrText>
      </w:r>
      <w:r w:rsidRPr="007B4AD1">
        <w:rPr>
          <w:rFonts w:cs="Arial"/>
          <w:szCs w:val="24"/>
        </w:rPr>
        <w:fldChar w:fldCharType="separate"/>
      </w:r>
      <w:r w:rsidRPr="007B4AD1">
        <w:rPr>
          <w:rFonts w:cs="Arial"/>
          <w:noProof/>
          <w:szCs w:val="24"/>
        </w:rPr>
        <w:t>Kotschy and Sunde (2018)</w:t>
      </w:r>
      <w:r w:rsidRPr="007B4AD1">
        <w:rPr>
          <w:rFonts w:cs="Arial"/>
          <w:szCs w:val="24"/>
        </w:rPr>
        <w:fldChar w:fldCharType="end"/>
      </w:r>
      <w:r w:rsidRPr="007B4AD1">
        <w:rPr>
          <w:rFonts w:cs="Arial"/>
          <w:szCs w:val="24"/>
        </w:rPr>
        <w:t xml:space="preserve"> instead argued that demographics and education interacted with each other, and </w:t>
      </w:r>
      <w:r w:rsidRPr="007B4AD1">
        <w:rPr>
          <w:rFonts w:cs="Arial"/>
          <w:szCs w:val="24"/>
        </w:rPr>
        <w:fldChar w:fldCharType="begin"/>
      </w:r>
      <w:r w:rsidR="005C6C38">
        <w:rPr>
          <w:rFonts w:cs="Arial"/>
          <w:szCs w:val="24"/>
        </w:rPr>
        <w:instrText xml:space="preserve"> ADDIN ZOTERO_ITEM CSL_CITATION {"citationID":"DDGTbi6T","properties":{"formattedCitation":"(Kotschy et al., 2020)","plainCitation":"(Kotschy et al., 2020)","dontUpdate":true,"noteIndex":0},"citationItems":[{"id":700,"uris":["http://zotero.org/users/7533545/items/MVAHD762"],"itemData":{"id":700,"type":"article-journal","abstract":"The demographic dividend has long been viewed as an important factor for economic development and provided a rationale for policies aiming at a more balanced age structure through birth control and family planning. Assessing the relative importance of age structure and increases in human capital, recent work has argued that the demographic dividend is related to education and has suggested a dominance of improving education over age structure. Here we reconsider the empirical relevance of shifts in the age distribution for development for a panel of 159 countries over the period 1950 to 2015. Based on a flexible model of age-structured human capital endowments, the results document important interactions between age structure and human capital endowments, suggesting that arguments of clear dominance of education over age structure are unwarranted and lead to potentially misleading policy conclusions. An increase in the working-age population share has a strong and significant positive effect on growth, even conditional on human capital, in line with the conventional notion of a demographic dividend. An increase in human capital only has positive growth effects if combined with a suitable age structure. An increasing share of the most productive age groups has an additional positive effect on economic performance. Finally, the results show considerable heterogeneity in the effect of age structure and human capital for different levels of development. Successful policies for sustainable development should take this heterogeneity into account to avoid detrimental implications of a unidimensional focus on human capital without accounting for demography.","container-title":"Proceedings of the National Academy of Sciences","DOI":"10.1073/pnas.2012286117","ISSN":"0027-8424, 1091-6490","issue":"42","journalAbbreviation":"Proc. Natl. Acad. Sci. U.S.A.","language":"en","page":"25982-25984","source":"DOI.org (Crossref)","title":"The demographic dividend is more than an education dividend","volume":"117","author":[{"family":"Kotschy","given":"Rainer"},{"family":"Suarez Urtaza","given":"Patricio"},{"family":"Sunde","given":"Uwe"}],"issued":{"date-parts":[["2020",10,20]]}}}],"schema":"https://github.com/citation-style-language/schema/raw/master/csl-citation.json"} </w:instrText>
      </w:r>
      <w:r w:rsidRPr="007B4AD1">
        <w:rPr>
          <w:rFonts w:cs="Arial"/>
          <w:szCs w:val="24"/>
        </w:rPr>
        <w:fldChar w:fldCharType="separate"/>
      </w:r>
      <w:r w:rsidRPr="007B4AD1">
        <w:rPr>
          <w:rFonts w:cs="Arial"/>
          <w:noProof/>
          <w:szCs w:val="24"/>
        </w:rPr>
        <w:t>Kotschy et. al. (2020)</w:t>
      </w:r>
      <w:r w:rsidRPr="007B4AD1">
        <w:rPr>
          <w:rFonts w:cs="Arial"/>
          <w:szCs w:val="24"/>
        </w:rPr>
        <w:fldChar w:fldCharType="end"/>
      </w:r>
      <w:r w:rsidRPr="007B4AD1">
        <w:rPr>
          <w:rFonts w:cs="Arial"/>
          <w:szCs w:val="24"/>
        </w:rPr>
        <w:t xml:space="preserve"> argued that the actual picture was more complex, and that countries with similar age structure and education could still diverge on macroeconomic performance. </w:t>
      </w:r>
    </w:p>
    <w:p w14:paraId="69940FB9" w14:textId="77777777" w:rsidR="00A12150" w:rsidRPr="007B4AD1" w:rsidRDefault="00A12150" w:rsidP="007B4AD1">
      <w:pPr>
        <w:jc w:val="both"/>
        <w:rPr>
          <w:rFonts w:cs="Arial"/>
          <w:szCs w:val="24"/>
        </w:rPr>
      </w:pPr>
    </w:p>
    <w:p w14:paraId="0BC82BAD" w14:textId="702C26A3" w:rsidR="007B4AD1" w:rsidRDefault="007B4AD1" w:rsidP="007B4AD1">
      <w:pPr>
        <w:jc w:val="both"/>
        <w:rPr>
          <w:rFonts w:cs="Arial"/>
          <w:szCs w:val="24"/>
        </w:rPr>
      </w:pPr>
      <w:r w:rsidRPr="007B4AD1">
        <w:rPr>
          <w:rFonts w:cs="Arial"/>
          <w:szCs w:val="24"/>
        </w:rPr>
        <w:t xml:space="preserve">The debate about the demography versus education/human capital is important for another related topic that also has a bearing on future economic performance, and that is on the issue of the second demographic dividend. The issue here is whether there might be a second demographic dividend for countries that had benefitted from the first demographic dividend. </w:t>
      </w:r>
    </w:p>
    <w:p w14:paraId="68D333C6" w14:textId="77777777" w:rsidR="00A12150" w:rsidRPr="007B4AD1" w:rsidRDefault="00A12150" w:rsidP="007B4AD1">
      <w:pPr>
        <w:jc w:val="both"/>
        <w:rPr>
          <w:rFonts w:cs="Arial"/>
          <w:szCs w:val="24"/>
        </w:rPr>
      </w:pPr>
    </w:p>
    <w:p w14:paraId="19405069" w14:textId="097616D0" w:rsidR="007B4AD1" w:rsidRDefault="007B4AD1" w:rsidP="007B4AD1">
      <w:pPr>
        <w:jc w:val="both"/>
        <w:rPr>
          <w:rFonts w:cs="Arial"/>
          <w:szCs w:val="24"/>
        </w:rPr>
      </w:pPr>
      <w:r w:rsidRPr="007B4AD1">
        <w:rPr>
          <w:rFonts w:cs="Arial"/>
          <w:szCs w:val="24"/>
        </w:rPr>
        <w:t xml:space="preserve">The implications for the existence of a second demographic dividend would again influence policies in countries in addressing the issues arising from the ageing population. The existence of the possibility of the second demographic dividend would compel policies that would be different from the situation where the response to ageing would simply be that of adaptation. </w:t>
      </w:r>
    </w:p>
    <w:p w14:paraId="1255E1E9" w14:textId="77777777" w:rsidR="00A12150" w:rsidRPr="007B4AD1" w:rsidRDefault="00A12150" w:rsidP="007B4AD1">
      <w:pPr>
        <w:jc w:val="both"/>
        <w:rPr>
          <w:rFonts w:cs="Arial"/>
          <w:szCs w:val="24"/>
        </w:rPr>
      </w:pPr>
    </w:p>
    <w:p w14:paraId="53598756" w14:textId="03C871E7" w:rsidR="007B4AD1" w:rsidRDefault="007B4AD1" w:rsidP="007B4AD1">
      <w:pPr>
        <w:jc w:val="both"/>
        <w:rPr>
          <w:rFonts w:cs="Arial"/>
          <w:szCs w:val="24"/>
        </w:rPr>
      </w:pPr>
      <w:r w:rsidRPr="007B4AD1">
        <w:rPr>
          <w:rFonts w:cs="Arial"/>
          <w:szCs w:val="24"/>
        </w:rPr>
        <w:t xml:space="preserve">The second demographic dividend can only emerge after the first demographic dividend. The second demographic dividend, unlike the first demographic dividend, is less reliant on a sudden influx of working age individuals in the population. It does however, rely on the surpluses from the first demographic dividend be saved. </w:t>
      </w:r>
    </w:p>
    <w:p w14:paraId="3BC65E9E" w14:textId="77777777" w:rsidR="00A12150" w:rsidRPr="007B4AD1" w:rsidRDefault="00A12150" w:rsidP="007B4AD1">
      <w:pPr>
        <w:jc w:val="both"/>
        <w:rPr>
          <w:rFonts w:cs="Arial"/>
          <w:szCs w:val="24"/>
        </w:rPr>
      </w:pPr>
    </w:p>
    <w:p w14:paraId="2CA9DB1D" w14:textId="5B567993" w:rsidR="007B4AD1" w:rsidRDefault="007B4AD1" w:rsidP="007B4AD1">
      <w:pPr>
        <w:jc w:val="both"/>
        <w:rPr>
          <w:rFonts w:cs="Arial"/>
          <w:szCs w:val="24"/>
        </w:rPr>
      </w:pPr>
      <w:r w:rsidRPr="007B4AD1">
        <w:rPr>
          <w:rFonts w:cs="Arial"/>
          <w:szCs w:val="24"/>
        </w:rPr>
        <w:t xml:space="preserve">One driver for the second demographic dividend would come from how individuals in a low-fertility context would be motivated to save for their own retirement due to lower family support – that is, parents would save more if they expect that they are going to have less or no children at all. The excess savings from the couple could then be invested in various ways, increasing the capital that would be available to the society. This would then go on to increase the capital available per worker, improving productivity in the economy. A second way in which the second demographic dividend could come about would be through the increase in spending on human capital, with education being an important channel. In this second way, increased education leads to greater productivity and more income for the individual. However, this would mean that the returns for from the first demographic dividend would have to be saved and invested in productive investments for the second demographic dividend to be realised. This involves a complex set of national policies that would have to be well-implemented for this to happen; for instance, it would involve continual policies to shift the industrial mix of a country to move towards more innovative sectors. This process was  described in </w:t>
      </w:r>
      <w:r w:rsidRPr="007B4AD1">
        <w:rPr>
          <w:rFonts w:cs="Arial"/>
          <w:szCs w:val="24"/>
        </w:rPr>
        <w:fldChar w:fldCharType="begin"/>
      </w:r>
      <w:r w:rsidR="005C6C38">
        <w:rPr>
          <w:rFonts w:cs="Arial"/>
          <w:szCs w:val="24"/>
        </w:rPr>
        <w:instrText xml:space="preserve"> ADDIN ZOTERO_ITEM CSL_CITATION {"citationID":"F9gxfwzH","properties":{"formattedCitation":"(Lee et al., 2000)","plainCitation":"(Lee et al., 2000)","dontUpdate":true,"noteIndex":0},"citationItems":[{"id":688,"uris":["http://zotero.org/users/7533545/items/8DN7TL55"],"itemData":{"id":688,"type":"article-journal","container-title":"Population and Development Review","issue":"Supplement: Population and Economic Change in East Asia","language":"en","page":"194-219","source":"Zotero","title":"Life Cycle Saving and the Demographic Transition: The Case of Taiwan","volume":"26","author":[{"family":"Lee","given":"Ronald"},{"family":"Mason","given":"Andrew"},{"family":"Miller","given":"Timothy"}],"issued":{"date-parts":[["2000"]]}}}],"schema":"https://github.com/citation-style-language/schema/raw/master/csl-citation.json"} </w:instrText>
      </w:r>
      <w:r w:rsidRPr="007B4AD1">
        <w:rPr>
          <w:rFonts w:cs="Arial"/>
          <w:szCs w:val="24"/>
        </w:rPr>
        <w:fldChar w:fldCharType="separate"/>
      </w:r>
      <w:r w:rsidRPr="007B4AD1">
        <w:rPr>
          <w:rFonts w:cs="Arial"/>
          <w:noProof/>
          <w:szCs w:val="24"/>
        </w:rPr>
        <w:t>Lee et al., (2000)</w:t>
      </w:r>
      <w:r w:rsidRPr="007B4AD1">
        <w:rPr>
          <w:rFonts w:cs="Arial"/>
          <w:szCs w:val="24"/>
        </w:rPr>
        <w:fldChar w:fldCharType="end"/>
      </w:r>
      <w:r w:rsidRPr="007B4AD1">
        <w:rPr>
          <w:rFonts w:cs="Arial"/>
          <w:szCs w:val="24"/>
        </w:rPr>
        <w:t xml:space="preserve">. </w:t>
      </w:r>
    </w:p>
    <w:p w14:paraId="697378D8" w14:textId="77777777" w:rsidR="00A12150" w:rsidRPr="007B4AD1" w:rsidRDefault="00A12150" w:rsidP="007B4AD1">
      <w:pPr>
        <w:jc w:val="both"/>
        <w:rPr>
          <w:rFonts w:cs="Arial"/>
          <w:szCs w:val="24"/>
        </w:rPr>
      </w:pPr>
    </w:p>
    <w:p w14:paraId="0B47BE75" w14:textId="10F1B9BE" w:rsidR="007B4AD1" w:rsidRDefault="004408AB" w:rsidP="007B4AD1">
      <w:pPr>
        <w:jc w:val="both"/>
        <w:rPr>
          <w:rFonts w:cs="Arial"/>
          <w:szCs w:val="24"/>
        </w:rPr>
      </w:pPr>
      <w:r>
        <w:rPr>
          <w:rFonts w:cs="Arial"/>
          <w:szCs w:val="24"/>
        </w:rPr>
        <w:t>Looking at country-level analyses</w:t>
      </w:r>
      <w:r w:rsidR="007B4AD1" w:rsidRPr="007B4AD1">
        <w:rPr>
          <w:rFonts w:cs="Arial"/>
          <w:szCs w:val="24"/>
        </w:rPr>
        <w:t xml:space="preserve">, Islam </w:t>
      </w:r>
      <w:r w:rsidR="007B4AD1" w:rsidRPr="007B4AD1">
        <w:rPr>
          <w:rFonts w:cs="Arial"/>
          <w:szCs w:val="24"/>
        </w:rPr>
        <w:fldChar w:fldCharType="begin"/>
      </w:r>
      <w:r w:rsidR="005C6C38">
        <w:rPr>
          <w:rFonts w:cs="Arial"/>
          <w:szCs w:val="24"/>
        </w:rPr>
        <w:instrText xml:space="preserve"> ADDIN ZOTERO_ITEM CSL_CITATION {"citationID":"Bu35FNaK","properties":{"formattedCitation":"(Islam, 2019)","plainCitation":"(Islam, 2019)","dontUpdate":true,"noteIndex":0},"citationItems":[{"id":720,"uris":["http://zotero.org/users/7533545/items/E5B44G77"],"itemData":{"id":720,"type":"article-journal","container-title":"The Bangladesh Development Studies","issue":"4","language":"en","page":"51-81","source":"Zotero","title":"Age and Education Effects in the First Demographic Dividend of Bangladesh","volume":"42","author":[{"family":"Islam","given":"Shahidul"}],"issued":{"date-parts":[["2019"]]}}}],"schema":"https://github.com/citation-style-language/schema/raw/master/csl-citation.json"} </w:instrText>
      </w:r>
      <w:r w:rsidR="007B4AD1" w:rsidRPr="007B4AD1">
        <w:rPr>
          <w:rFonts w:cs="Arial"/>
          <w:szCs w:val="24"/>
        </w:rPr>
        <w:fldChar w:fldCharType="separate"/>
      </w:r>
      <w:r w:rsidR="007B4AD1" w:rsidRPr="007B4AD1">
        <w:rPr>
          <w:rFonts w:cs="Arial"/>
          <w:noProof/>
          <w:szCs w:val="24"/>
        </w:rPr>
        <w:t>(2019)</w:t>
      </w:r>
      <w:r w:rsidR="007B4AD1" w:rsidRPr="007B4AD1">
        <w:rPr>
          <w:rFonts w:cs="Arial"/>
          <w:szCs w:val="24"/>
        </w:rPr>
        <w:fldChar w:fldCharType="end"/>
      </w:r>
      <w:r w:rsidR="007B4AD1" w:rsidRPr="007B4AD1">
        <w:rPr>
          <w:rFonts w:cs="Arial"/>
          <w:szCs w:val="24"/>
        </w:rPr>
        <w:t xml:space="preserve"> found that age effects (demographic effects) were more important than education effects in Bangladesh, and that due to low levels of education, Bangladesh was not likely to experience a second demographic dividend. Across Asia, </w:t>
      </w:r>
      <w:proofErr w:type="spellStart"/>
      <w:r w:rsidR="007B4AD1" w:rsidRPr="007B4AD1">
        <w:rPr>
          <w:rFonts w:cs="Arial"/>
          <w:szCs w:val="24"/>
        </w:rPr>
        <w:t>Wongboonsin</w:t>
      </w:r>
      <w:proofErr w:type="spellEnd"/>
      <w:r w:rsidR="007B4AD1" w:rsidRPr="007B4AD1">
        <w:rPr>
          <w:rFonts w:cs="Arial"/>
          <w:szCs w:val="24"/>
        </w:rPr>
        <w:t xml:space="preserve"> and </w:t>
      </w:r>
      <w:proofErr w:type="spellStart"/>
      <w:r w:rsidR="007B4AD1" w:rsidRPr="007B4AD1">
        <w:rPr>
          <w:rFonts w:cs="Arial"/>
          <w:szCs w:val="24"/>
        </w:rPr>
        <w:t>Wongboonsin</w:t>
      </w:r>
      <w:proofErr w:type="spellEnd"/>
      <w:r w:rsidR="007B4AD1" w:rsidRPr="007B4AD1">
        <w:rPr>
          <w:rFonts w:cs="Arial"/>
          <w:szCs w:val="24"/>
        </w:rPr>
        <w:t xml:space="preserve"> </w:t>
      </w:r>
      <w:r w:rsidR="007B4AD1" w:rsidRPr="007B4AD1">
        <w:rPr>
          <w:rFonts w:cs="Arial"/>
          <w:szCs w:val="24"/>
        </w:rPr>
        <w:fldChar w:fldCharType="begin"/>
      </w:r>
      <w:r w:rsidR="005C6C38">
        <w:rPr>
          <w:rFonts w:cs="Arial"/>
          <w:szCs w:val="24"/>
        </w:rPr>
        <w:instrText xml:space="preserve"> ADDIN ZOTERO_ITEM CSL_CITATION {"citationID":"zkBe0DiH","properties":{"formattedCitation":"(Wongboonsin &amp; Wongboonsin, 2014)","plainCitation":"(Wongboonsin &amp; Wongboonsin, 2014)","dontUpdate":true,"noteIndex":0},"citationItems":[{"id":733,"uris":["http://zotero.org/users/7533545/items/NL78BLVR"],"itemData":{"id":733,"type":"chapter","container-title":"Transformation of the Intimate and the Public in Asian Modernity","event-place":"Leiden and Boston","language":"en","page":"91-115","publisher":"Brill","publisher-place":"Leiden and Boston","title":"Demographic Dividend and the Future of Asia","author":[{"family":"Wongboonsin","given":"Patcharawalai"},{"family":"Wongboonsin","given":"Kua"}],"issued":{"date-parts":[["2014"]]}}}],"schema":"https://github.com/citation-style-language/schema/raw/master/csl-citation.json"} </w:instrText>
      </w:r>
      <w:r w:rsidR="007B4AD1" w:rsidRPr="007B4AD1">
        <w:rPr>
          <w:rFonts w:cs="Arial"/>
          <w:szCs w:val="24"/>
        </w:rPr>
        <w:fldChar w:fldCharType="separate"/>
      </w:r>
      <w:r w:rsidR="007B4AD1" w:rsidRPr="007B4AD1">
        <w:rPr>
          <w:rFonts w:cs="Arial"/>
          <w:noProof/>
          <w:szCs w:val="24"/>
        </w:rPr>
        <w:t>(2014)</w:t>
      </w:r>
      <w:r w:rsidR="007B4AD1" w:rsidRPr="007B4AD1">
        <w:rPr>
          <w:rFonts w:cs="Arial"/>
          <w:szCs w:val="24"/>
        </w:rPr>
        <w:fldChar w:fldCharType="end"/>
      </w:r>
      <w:r w:rsidR="007B4AD1" w:rsidRPr="007B4AD1">
        <w:rPr>
          <w:rFonts w:cs="Arial"/>
          <w:szCs w:val="24"/>
        </w:rPr>
        <w:t xml:space="preserve"> acknowledged that many countries might not secure the second demographic dividend owing to the potential challenge to reform education and skills systems, improving the productivity </w:t>
      </w:r>
      <w:r w:rsidR="007B4AD1" w:rsidRPr="007B4AD1">
        <w:rPr>
          <w:rFonts w:cs="Arial"/>
          <w:szCs w:val="24"/>
        </w:rPr>
        <w:lastRenderedPageBreak/>
        <w:t xml:space="preserve">of the workforce for capital accumulation and increase in standards of living. </w:t>
      </w:r>
      <w:r w:rsidR="007B4AD1" w:rsidRPr="007B4AD1">
        <w:rPr>
          <w:rFonts w:cs="Arial"/>
          <w:szCs w:val="24"/>
        </w:rPr>
        <w:fldChar w:fldCharType="begin"/>
      </w:r>
      <w:r w:rsidR="005C6C38">
        <w:rPr>
          <w:rFonts w:cs="Arial"/>
          <w:szCs w:val="24"/>
        </w:rPr>
        <w:instrText xml:space="preserve"> ADDIN ZOTERO_ITEM CSL_CITATION {"citationID":"cCtEy2bX","properties":{"formattedCitation":"(Renter\\uc0\\u237{}a et al., 2016)","plainCitation":"(Rentería et al., 2016)","dontUpdate":true,"noteIndex":0},"citationItems":[{"id":690,"uris":["http://zotero.org/users/7533545/items/ZCVTCQKB"],"itemData":{"id":690,"type":"article-journal","container-title":"Population and Development Review","DOI":"10.1111/padr.12017","ISSN":"00987921","issue":"4","journalAbbreviation":"Population and Development Review","language":"en","page":"651-671","source":"DOI.org (Crossref)","title":"The Effect of Education on the Demographic Dividend: The Effect of Education on the Demographic Dividend","title-short":"The Effect of Education on the Demographic Dividend","volume":"42","author":[{"family":"Rentería","given":"Elisenda"},{"family":"Souto","given":"Guadalupe"},{"family":"Mejía-Guevara","given":"Iván"},{"family":"Patxot","given":"Concepció"}],"issued":{"date-parts":[["2016",12]]}}}],"schema":"https://github.com/citation-style-language/schema/raw/master/csl-citation.json"} </w:instrText>
      </w:r>
      <w:r w:rsidR="007B4AD1" w:rsidRPr="007B4AD1">
        <w:rPr>
          <w:rFonts w:cs="Arial"/>
          <w:szCs w:val="24"/>
        </w:rPr>
        <w:fldChar w:fldCharType="separate"/>
      </w:r>
      <w:r w:rsidR="007B4AD1" w:rsidRPr="007B4AD1">
        <w:rPr>
          <w:rFonts w:cs="Arial"/>
          <w:szCs w:val="24"/>
        </w:rPr>
        <w:t>Rentería et al. (2016</w:t>
      </w:r>
      <w:r w:rsidR="007B4AD1" w:rsidRPr="007B4AD1">
        <w:rPr>
          <w:rFonts w:cs="Arial"/>
          <w:szCs w:val="24"/>
        </w:rPr>
        <w:fldChar w:fldCharType="end"/>
      </w:r>
      <w:r w:rsidR="007B4AD1" w:rsidRPr="007B4AD1">
        <w:rPr>
          <w:rFonts w:cs="Arial"/>
          <w:szCs w:val="24"/>
        </w:rPr>
        <w:t>) found that education can offset some of the negative effects of ageing when comparing the income and consumption profiles and ESR for Mexico and Spain as the first demographic dividend is exhausted and the working age population ages with smaller succeeding cohort sizes.</w:t>
      </w:r>
    </w:p>
    <w:p w14:paraId="48448843" w14:textId="77777777" w:rsidR="00A12150" w:rsidRPr="007B4AD1" w:rsidRDefault="00A12150" w:rsidP="007B4AD1">
      <w:pPr>
        <w:jc w:val="both"/>
        <w:rPr>
          <w:rFonts w:cs="Arial"/>
          <w:szCs w:val="24"/>
        </w:rPr>
      </w:pPr>
    </w:p>
    <w:p w14:paraId="5A623697" w14:textId="26EBA570" w:rsidR="007B4AD1" w:rsidRDefault="007B4AD1" w:rsidP="007B4AD1">
      <w:pPr>
        <w:jc w:val="both"/>
        <w:rPr>
          <w:rFonts w:cs="Arial"/>
          <w:szCs w:val="24"/>
        </w:rPr>
      </w:pPr>
      <w:r w:rsidRPr="007B4AD1">
        <w:rPr>
          <w:rFonts w:cs="Arial"/>
          <w:szCs w:val="24"/>
        </w:rPr>
        <w:t xml:space="preserve">Mason and Lee </w:t>
      </w:r>
      <w:r w:rsidRPr="007B4AD1">
        <w:rPr>
          <w:rFonts w:cs="Arial"/>
          <w:szCs w:val="24"/>
        </w:rPr>
        <w:fldChar w:fldCharType="begin"/>
      </w:r>
      <w:r w:rsidR="005C6C38">
        <w:rPr>
          <w:rFonts w:cs="Arial"/>
          <w:szCs w:val="24"/>
        </w:rPr>
        <w:instrText xml:space="preserve"> ADDIN ZOTERO_ITEM CSL_CITATION {"citationID":"VZlvhepM","properties":{"formattedCitation":"(Mason &amp; Lee, 2006)","plainCitation":"(Mason &amp; Lee, 2006)","dontUpdate":true,"noteIndex":0},"citationItems":[{"id":689,"uris":["http://zotero.org/users/7533545/items/SMBEPSSN"],"itemData":{"id":689,"type":"article-journal","issue":"2","language":"en","page":"11-35","source":"Zotero","title":"Reform and support systems for the elderly in developing countries: capturing the second demographic dividend","volume":"62","author":[{"family":"Mason","given":"Andrew"},{"family":"Lee","given":"Ronald"}],"issued":{"date-parts":[["2006"]]}}}],"schema":"https://github.com/citation-style-language/schema/raw/master/csl-citation.json"} </w:instrText>
      </w:r>
      <w:r w:rsidRPr="007B4AD1">
        <w:rPr>
          <w:rFonts w:cs="Arial"/>
          <w:szCs w:val="24"/>
        </w:rPr>
        <w:fldChar w:fldCharType="separate"/>
      </w:r>
      <w:r w:rsidRPr="007B4AD1">
        <w:rPr>
          <w:rFonts w:cs="Arial"/>
          <w:noProof/>
          <w:szCs w:val="24"/>
        </w:rPr>
        <w:t>(2006)</w:t>
      </w:r>
      <w:r w:rsidRPr="007B4AD1">
        <w:rPr>
          <w:rFonts w:cs="Arial"/>
          <w:szCs w:val="24"/>
        </w:rPr>
        <w:fldChar w:fldCharType="end"/>
      </w:r>
      <w:r w:rsidRPr="007B4AD1">
        <w:rPr>
          <w:rFonts w:cs="Arial"/>
          <w:szCs w:val="24"/>
        </w:rPr>
        <w:t xml:space="preserve"> argue that reforms would have to be undertaken in several countries to be able to capture the gains from the second demographic dividend. It would require countries to undertake reforms that would enable the savings to be invested in global financial markets, for instance.</w:t>
      </w:r>
    </w:p>
    <w:p w14:paraId="269B9093" w14:textId="77777777" w:rsidR="00A12150" w:rsidRPr="007B4AD1" w:rsidRDefault="00A12150" w:rsidP="007B4AD1">
      <w:pPr>
        <w:jc w:val="both"/>
        <w:rPr>
          <w:rFonts w:cs="Arial"/>
          <w:szCs w:val="24"/>
        </w:rPr>
      </w:pPr>
    </w:p>
    <w:p w14:paraId="04D51F84" w14:textId="77777777" w:rsidR="007B4AD1" w:rsidRPr="007B4AD1" w:rsidRDefault="007B4AD1" w:rsidP="007B4AD1">
      <w:pPr>
        <w:jc w:val="both"/>
        <w:rPr>
          <w:rFonts w:cs="Arial"/>
          <w:szCs w:val="24"/>
        </w:rPr>
      </w:pPr>
      <w:r w:rsidRPr="007B4AD1">
        <w:rPr>
          <w:rFonts w:cs="Arial"/>
          <w:szCs w:val="24"/>
        </w:rPr>
        <w:t xml:space="preserve">This second demographic dividend is important for Singapore as the effects from the first demographic dividend are “exhausted” as the prime working age population that created Singapore’s growth in previous decades would be exiting the labour force by the 2030s. The existence of a second demographic dividend would be an important factor as to whether the quality of life at present might be fiscally sustainable without incurring debt for future generations to address. Since this second demographic dividend comes ultimately from the first demographic dividend, the factors leading to the rise of the first dividend should then inform the nature of the second demographic dividend and how it might come about in Singapore. </w:t>
      </w:r>
    </w:p>
    <w:p w14:paraId="69BDE819" w14:textId="77777777" w:rsidR="007349BB" w:rsidRDefault="007349BB" w:rsidP="00AF2B8D">
      <w:pPr>
        <w:pBdr>
          <w:top w:val="nil"/>
          <w:left w:val="nil"/>
          <w:bottom w:val="nil"/>
          <w:right w:val="nil"/>
          <w:between w:val="nil"/>
        </w:pBdr>
        <w:spacing w:after="200"/>
        <w:jc w:val="both"/>
        <w:rPr>
          <w:rFonts w:eastAsia="Calibri" w:cs="Arial"/>
          <w:bCs/>
          <w:color w:val="000000"/>
          <w:szCs w:val="24"/>
        </w:rPr>
      </w:pPr>
    </w:p>
    <w:p w14:paraId="4078C545" w14:textId="79CD54B8" w:rsidR="009B474D" w:rsidRPr="009B474D" w:rsidRDefault="00467D2A" w:rsidP="00A12150">
      <w:pPr>
        <w:pStyle w:val="Heading1"/>
      </w:pPr>
      <w:r>
        <w:t>3</w:t>
      </w:r>
      <w:r w:rsidR="009B474D" w:rsidRPr="009B474D">
        <w:t xml:space="preserve">. </w:t>
      </w:r>
      <w:r w:rsidR="00A12150">
        <w:t>SINGAPORE’S CONTEXT</w:t>
      </w:r>
    </w:p>
    <w:p w14:paraId="1A8AE46B" w14:textId="77777777" w:rsidR="00A12150" w:rsidRPr="00A12150" w:rsidRDefault="00A12150" w:rsidP="00A12150">
      <w:pPr>
        <w:jc w:val="both"/>
        <w:rPr>
          <w:rFonts w:cs="Arial"/>
          <w:szCs w:val="24"/>
        </w:rPr>
      </w:pPr>
      <w:r w:rsidRPr="00A12150">
        <w:rPr>
          <w:rFonts w:cs="Arial"/>
          <w:szCs w:val="24"/>
        </w:rPr>
        <w:t xml:space="preserve">Singapore is undergoing a rapid demographic transition. Singapore experienced a baby boom in the period after the Second World War. The baby boomer generation </w:t>
      </w:r>
      <w:r w:rsidRPr="00A12150">
        <w:rPr>
          <w:rFonts w:cs="Arial"/>
          <w:szCs w:val="24"/>
        </w:rPr>
        <w:lastRenderedPageBreak/>
        <w:t xml:space="preserve">entered their working years in the period of 1970s through to about the 2000s. Over this period, they have contributed to Singapore’s economic development. This is also what is termed the first Demographic Dividend – the payoff to a society comprising largely working age residents with low numbers of young and old dependents. </w:t>
      </w:r>
    </w:p>
    <w:p w14:paraId="5D699344" w14:textId="355F202A" w:rsidR="00A12150" w:rsidRDefault="00A12150" w:rsidP="00A12150">
      <w:pPr>
        <w:jc w:val="both"/>
        <w:rPr>
          <w:rFonts w:cs="Arial"/>
          <w:szCs w:val="24"/>
        </w:rPr>
      </w:pPr>
      <w:r w:rsidRPr="00A12150">
        <w:rPr>
          <w:rFonts w:cs="Arial"/>
          <w:szCs w:val="24"/>
        </w:rPr>
        <w:t xml:space="preserve">Accompanying this rise was the increase in the number of polytechnics – a diploma-awarding education institution, and the number of universities recognised by the Ministry of Education with the “autonomous” status. </w:t>
      </w:r>
    </w:p>
    <w:p w14:paraId="1D61C134" w14:textId="77777777" w:rsidR="001B0704" w:rsidRDefault="001B0704" w:rsidP="00A12150">
      <w:pPr>
        <w:jc w:val="both"/>
        <w:rPr>
          <w:rFonts w:cs="Arial"/>
          <w:szCs w:val="24"/>
        </w:rPr>
      </w:pPr>
    </w:p>
    <w:p w14:paraId="7D5E282B" w14:textId="6BFC233D" w:rsidR="001B0704" w:rsidRPr="001B0704" w:rsidRDefault="001B0704" w:rsidP="00A12150">
      <w:pPr>
        <w:jc w:val="both"/>
        <w:rPr>
          <w:rFonts w:cs="Arial"/>
          <w:b/>
          <w:bCs/>
          <w:szCs w:val="24"/>
        </w:rPr>
      </w:pPr>
      <w:r>
        <w:rPr>
          <w:rFonts w:cs="Arial"/>
          <w:b/>
          <w:bCs/>
          <w:szCs w:val="24"/>
        </w:rPr>
        <w:t xml:space="preserve">Table 1: List of Polytechnics </w:t>
      </w:r>
    </w:p>
    <w:tbl>
      <w:tblPr>
        <w:tblStyle w:val="TableGrid"/>
        <w:tblW w:w="0" w:type="auto"/>
        <w:tblLook w:val="04A0" w:firstRow="1" w:lastRow="0" w:firstColumn="1" w:lastColumn="0" w:noHBand="0" w:noVBand="1"/>
      </w:tblPr>
      <w:tblGrid>
        <w:gridCol w:w="2689"/>
        <w:gridCol w:w="3685"/>
      </w:tblGrid>
      <w:tr w:rsidR="00A12150" w:rsidRPr="00A12150" w14:paraId="47FDCD3F" w14:textId="77777777" w:rsidTr="008B5134">
        <w:tc>
          <w:tcPr>
            <w:tcW w:w="2689" w:type="dxa"/>
          </w:tcPr>
          <w:p w14:paraId="364392F6" w14:textId="77777777" w:rsidR="00A12150" w:rsidRPr="00A12150" w:rsidRDefault="00A12150" w:rsidP="00402DF8">
            <w:pPr>
              <w:rPr>
                <w:rFonts w:cs="Arial"/>
                <w:szCs w:val="24"/>
              </w:rPr>
            </w:pPr>
            <w:r w:rsidRPr="00A12150">
              <w:rPr>
                <w:rFonts w:cs="Arial"/>
                <w:szCs w:val="24"/>
              </w:rPr>
              <w:t>Polytechnic</w:t>
            </w:r>
          </w:p>
        </w:tc>
        <w:tc>
          <w:tcPr>
            <w:tcW w:w="3685" w:type="dxa"/>
          </w:tcPr>
          <w:p w14:paraId="5969B97D" w14:textId="77777777" w:rsidR="00A12150" w:rsidRPr="00A12150" w:rsidRDefault="00A12150" w:rsidP="00402DF8">
            <w:pPr>
              <w:rPr>
                <w:rFonts w:cs="Arial"/>
                <w:szCs w:val="24"/>
              </w:rPr>
            </w:pPr>
            <w:r w:rsidRPr="00A12150">
              <w:rPr>
                <w:rFonts w:cs="Arial"/>
                <w:szCs w:val="24"/>
              </w:rPr>
              <w:t>Year of Founding</w:t>
            </w:r>
          </w:p>
        </w:tc>
      </w:tr>
      <w:tr w:rsidR="00A12150" w:rsidRPr="00A12150" w14:paraId="3AD0B709" w14:textId="77777777" w:rsidTr="008B5134">
        <w:tc>
          <w:tcPr>
            <w:tcW w:w="2689" w:type="dxa"/>
          </w:tcPr>
          <w:p w14:paraId="6EB7C5BF" w14:textId="77777777" w:rsidR="00A12150" w:rsidRPr="00A12150" w:rsidRDefault="00A12150" w:rsidP="00402DF8">
            <w:pPr>
              <w:rPr>
                <w:rFonts w:cs="Arial"/>
                <w:szCs w:val="24"/>
              </w:rPr>
            </w:pPr>
            <w:r w:rsidRPr="00A12150">
              <w:rPr>
                <w:rFonts w:cs="Arial"/>
                <w:szCs w:val="24"/>
              </w:rPr>
              <w:t>Singapore Polytechnic</w:t>
            </w:r>
          </w:p>
        </w:tc>
        <w:tc>
          <w:tcPr>
            <w:tcW w:w="3685" w:type="dxa"/>
          </w:tcPr>
          <w:p w14:paraId="1B2A24C1" w14:textId="77777777" w:rsidR="00A12150" w:rsidRPr="00A12150" w:rsidRDefault="00A12150" w:rsidP="00402DF8">
            <w:pPr>
              <w:rPr>
                <w:rFonts w:cs="Arial"/>
                <w:szCs w:val="24"/>
              </w:rPr>
            </w:pPr>
            <w:r w:rsidRPr="00A12150">
              <w:rPr>
                <w:rFonts w:cs="Arial"/>
                <w:szCs w:val="24"/>
              </w:rPr>
              <w:t>1954</w:t>
            </w:r>
            <w:r w:rsidRPr="00A12150">
              <w:rPr>
                <w:rStyle w:val="FootnoteReference"/>
                <w:rFonts w:cs="Arial"/>
                <w:szCs w:val="24"/>
              </w:rPr>
              <w:footnoteReference w:id="1"/>
            </w:r>
          </w:p>
        </w:tc>
      </w:tr>
      <w:tr w:rsidR="00A12150" w:rsidRPr="00A12150" w14:paraId="39BA1EF4" w14:textId="77777777" w:rsidTr="008B5134">
        <w:tc>
          <w:tcPr>
            <w:tcW w:w="2689" w:type="dxa"/>
          </w:tcPr>
          <w:p w14:paraId="740AB393" w14:textId="77777777" w:rsidR="00A12150" w:rsidRPr="00A12150" w:rsidRDefault="00A12150" w:rsidP="00402DF8">
            <w:pPr>
              <w:rPr>
                <w:rFonts w:cs="Arial"/>
                <w:szCs w:val="24"/>
              </w:rPr>
            </w:pPr>
            <w:r w:rsidRPr="00A12150">
              <w:rPr>
                <w:rFonts w:cs="Arial"/>
                <w:szCs w:val="24"/>
              </w:rPr>
              <w:t>Ngee Ann Polytechnic</w:t>
            </w:r>
          </w:p>
        </w:tc>
        <w:tc>
          <w:tcPr>
            <w:tcW w:w="3685" w:type="dxa"/>
          </w:tcPr>
          <w:p w14:paraId="59981067" w14:textId="77777777" w:rsidR="00A12150" w:rsidRPr="00A12150" w:rsidRDefault="00A12150" w:rsidP="00402DF8">
            <w:pPr>
              <w:rPr>
                <w:rFonts w:cs="Arial"/>
                <w:szCs w:val="24"/>
              </w:rPr>
            </w:pPr>
            <w:r w:rsidRPr="00A12150">
              <w:rPr>
                <w:rFonts w:cs="Arial"/>
                <w:szCs w:val="24"/>
              </w:rPr>
              <w:t>1963 (as the Ngee Ann College)</w:t>
            </w:r>
            <w:r w:rsidRPr="00A12150">
              <w:rPr>
                <w:rStyle w:val="FootnoteReference"/>
                <w:rFonts w:cs="Arial"/>
                <w:szCs w:val="24"/>
              </w:rPr>
              <w:footnoteReference w:id="2"/>
            </w:r>
          </w:p>
        </w:tc>
      </w:tr>
      <w:tr w:rsidR="00A12150" w:rsidRPr="00A12150" w14:paraId="3E99194D" w14:textId="77777777" w:rsidTr="008B5134">
        <w:tc>
          <w:tcPr>
            <w:tcW w:w="2689" w:type="dxa"/>
          </w:tcPr>
          <w:p w14:paraId="344240D2" w14:textId="77777777" w:rsidR="00A12150" w:rsidRPr="00A12150" w:rsidRDefault="00A12150" w:rsidP="00402DF8">
            <w:pPr>
              <w:rPr>
                <w:rFonts w:cs="Arial"/>
                <w:szCs w:val="24"/>
              </w:rPr>
            </w:pPr>
            <w:r w:rsidRPr="00A12150">
              <w:rPr>
                <w:rFonts w:cs="Arial"/>
                <w:szCs w:val="24"/>
              </w:rPr>
              <w:t>Temasek Polytechnic</w:t>
            </w:r>
          </w:p>
        </w:tc>
        <w:tc>
          <w:tcPr>
            <w:tcW w:w="3685" w:type="dxa"/>
          </w:tcPr>
          <w:p w14:paraId="6CBD8B62" w14:textId="77777777" w:rsidR="00A12150" w:rsidRPr="00A12150" w:rsidRDefault="00A12150" w:rsidP="00402DF8">
            <w:pPr>
              <w:rPr>
                <w:rFonts w:cs="Arial"/>
                <w:szCs w:val="24"/>
              </w:rPr>
            </w:pPr>
            <w:r w:rsidRPr="00A12150">
              <w:rPr>
                <w:rFonts w:cs="Arial"/>
                <w:szCs w:val="24"/>
              </w:rPr>
              <w:t>1990</w:t>
            </w:r>
            <w:r w:rsidRPr="00A12150">
              <w:rPr>
                <w:rStyle w:val="FootnoteReference"/>
                <w:rFonts w:cs="Arial"/>
                <w:szCs w:val="24"/>
              </w:rPr>
              <w:footnoteReference w:id="3"/>
            </w:r>
          </w:p>
        </w:tc>
      </w:tr>
      <w:tr w:rsidR="00A12150" w:rsidRPr="00A12150" w14:paraId="44F82B6E" w14:textId="77777777" w:rsidTr="008B5134">
        <w:tc>
          <w:tcPr>
            <w:tcW w:w="2689" w:type="dxa"/>
          </w:tcPr>
          <w:p w14:paraId="126C6BA1" w14:textId="77777777" w:rsidR="00A12150" w:rsidRPr="00A12150" w:rsidRDefault="00A12150" w:rsidP="00402DF8">
            <w:pPr>
              <w:rPr>
                <w:rFonts w:cs="Arial"/>
                <w:szCs w:val="24"/>
              </w:rPr>
            </w:pPr>
            <w:r w:rsidRPr="00A12150">
              <w:rPr>
                <w:rFonts w:cs="Arial"/>
                <w:szCs w:val="24"/>
              </w:rPr>
              <w:t>Nanyang Polytechnic</w:t>
            </w:r>
          </w:p>
        </w:tc>
        <w:tc>
          <w:tcPr>
            <w:tcW w:w="3685" w:type="dxa"/>
          </w:tcPr>
          <w:p w14:paraId="6469ABFE" w14:textId="77777777" w:rsidR="00A12150" w:rsidRPr="00A12150" w:rsidRDefault="00A12150" w:rsidP="00402DF8">
            <w:pPr>
              <w:rPr>
                <w:rFonts w:cs="Arial"/>
                <w:szCs w:val="24"/>
              </w:rPr>
            </w:pPr>
            <w:r w:rsidRPr="00A12150">
              <w:rPr>
                <w:rFonts w:cs="Arial"/>
                <w:szCs w:val="24"/>
              </w:rPr>
              <w:t>1992</w:t>
            </w:r>
            <w:r w:rsidRPr="00A12150">
              <w:rPr>
                <w:rStyle w:val="FootnoteReference"/>
                <w:rFonts w:cs="Arial"/>
                <w:szCs w:val="24"/>
              </w:rPr>
              <w:footnoteReference w:id="4"/>
            </w:r>
          </w:p>
        </w:tc>
      </w:tr>
      <w:tr w:rsidR="00A12150" w:rsidRPr="00A12150" w14:paraId="3B928E1C" w14:textId="77777777" w:rsidTr="008B5134">
        <w:tc>
          <w:tcPr>
            <w:tcW w:w="2689" w:type="dxa"/>
          </w:tcPr>
          <w:p w14:paraId="7FA6F3F9" w14:textId="77777777" w:rsidR="00A12150" w:rsidRPr="00A12150" w:rsidRDefault="00A12150" w:rsidP="00402DF8">
            <w:pPr>
              <w:rPr>
                <w:rFonts w:cs="Arial"/>
                <w:szCs w:val="24"/>
              </w:rPr>
            </w:pPr>
            <w:r w:rsidRPr="00A12150">
              <w:rPr>
                <w:rFonts w:cs="Arial"/>
                <w:szCs w:val="24"/>
              </w:rPr>
              <w:t>Republic Polytechnic</w:t>
            </w:r>
          </w:p>
        </w:tc>
        <w:tc>
          <w:tcPr>
            <w:tcW w:w="3685" w:type="dxa"/>
          </w:tcPr>
          <w:p w14:paraId="42EA8F91" w14:textId="77777777" w:rsidR="00A12150" w:rsidRPr="00A12150" w:rsidRDefault="00A12150" w:rsidP="00402DF8">
            <w:pPr>
              <w:rPr>
                <w:rFonts w:cs="Arial"/>
                <w:szCs w:val="24"/>
              </w:rPr>
            </w:pPr>
            <w:r w:rsidRPr="00A12150">
              <w:rPr>
                <w:rFonts w:cs="Arial"/>
                <w:szCs w:val="24"/>
              </w:rPr>
              <w:t>2002</w:t>
            </w:r>
            <w:r w:rsidRPr="00A12150">
              <w:rPr>
                <w:rStyle w:val="FootnoteReference"/>
                <w:rFonts w:cs="Arial"/>
                <w:szCs w:val="24"/>
              </w:rPr>
              <w:footnoteReference w:id="5"/>
            </w:r>
          </w:p>
        </w:tc>
      </w:tr>
    </w:tbl>
    <w:p w14:paraId="00629940" w14:textId="77777777" w:rsidR="00A12150" w:rsidRPr="00A12150" w:rsidRDefault="00A12150" w:rsidP="00A12150">
      <w:pPr>
        <w:jc w:val="both"/>
        <w:rPr>
          <w:rFonts w:cs="Arial"/>
          <w:szCs w:val="24"/>
        </w:rPr>
      </w:pPr>
    </w:p>
    <w:p w14:paraId="619DCDE4" w14:textId="68F2BB72" w:rsidR="00A12150" w:rsidRDefault="00A12150" w:rsidP="00A12150">
      <w:pPr>
        <w:jc w:val="both"/>
        <w:rPr>
          <w:rFonts w:cs="Arial"/>
          <w:szCs w:val="24"/>
        </w:rPr>
      </w:pPr>
      <w:r w:rsidRPr="00A12150">
        <w:rPr>
          <w:rFonts w:cs="Arial"/>
          <w:szCs w:val="24"/>
        </w:rPr>
        <w:t xml:space="preserve">At Singapore’s independence in 1965, Singapore had two polytechnics – education institutions that focused on career-relevant skills. In the 1990s the number of polytechnics increased to four, and were geographically dispersed across Singapore. </w:t>
      </w:r>
      <w:r w:rsidRPr="00A12150">
        <w:rPr>
          <w:rFonts w:cs="Arial"/>
          <w:szCs w:val="24"/>
        </w:rPr>
        <w:lastRenderedPageBreak/>
        <w:t>The current number of polytechnics is 5, with Republic Polytechnic in the north of Singapore.</w:t>
      </w:r>
    </w:p>
    <w:p w14:paraId="430DF029" w14:textId="77777777" w:rsidR="001B0704" w:rsidRPr="00A12150" w:rsidRDefault="001B0704" w:rsidP="00A12150">
      <w:pPr>
        <w:jc w:val="both"/>
        <w:rPr>
          <w:rFonts w:cs="Arial"/>
          <w:szCs w:val="24"/>
        </w:rPr>
      </w:pPr>
    </w:p>
    <w:p w14:paraId="7DF09305" w14:textId="31DAC22F" w:rsidR="00A12150" w:rsidRPr="001B0704" w:rsidRDefault="001B0704" w:rsidP="00A12150">
      <w:pPr>
        <w:jc w:val="both"/>
        <w:rPr>
          <w:rFonts w:cs="Arial"/>
          <w:b/>
          <w:bCs/>
          <w:szCs w:val="24"/>
        </w:rPr>
      </w:pPr>
      <w:r>
        <w:rPr>
          <w:rFonts w:cs="Arial"/>
          <w:b/>
          <w:bCs/>
          <w:szCs w:val="24"/>
        </w:rPr>
        <w:t xml:space="preserve">Table </w:t>
      </w:r>
      <w:r w:rsidR="00A316B5">
        <w:rPr>
          <w:rFonts w:cs="Arial"/>
          <w:b/>
          <w:bCs/>
          <w:szCs w:val="24"/>
        </w:rPr>
        <w:t>2</w:t>
      </w:r>
      <w:r>
        <w:rPr>
          <w:rFonts w:cs="Arial"/>
          <w:b/>
          <w:bCs/>
          <w:szCs w:val="24"/>
        </w:rPr>
        <w:t xml:space="preserve">: List of </w:t>
      </w:r>
      <w:r w:rsidR="00A316B5">
        <w:rPr>
          <w:rFonts w:cs="Arial"/>
          <w:b/>
          <w:bCs/>
          <w:szCs w:val="24"/>
        </w:rPr>
        <w:t>Universities</w:t>
      </w:r>
      <w:r>
        <w:rPr>
          <w:rFonts w:cs="Arial"/>
          <w:b/>
          <w:bCs/>
          <w:szCs w:val="24"/>
        </w:rPr>
        <w:t xml:space="preserve"> </w:t>
      </w:r>
    </w:p>
    <w:tbl>
      <w:tblPr>
        <w:tblStyle w:val="TableGrid"/>
        <w:tblW w:w="0" w:type="auto"/>
        <w:tblLook w:val="04A0" w:firstRow="1" w:lastRow="0" w:firstColumn="1" w:lastColumn="0" w:noHBand="0" w:noVBand="1"/>
      </w:tblPr>
      <w:tblGrid>
        <w:gridCol w:w="4106"/>
        <w:gridCol w:w="4910"/>
      </w:tblGrid>
      <w:tr w:rsidR="00A12150" w:rsidRPr="00A12150" w14:paraId="26C5DC9C" w14:textId="77777777" w:rsidTr="0087740F">
        <w:tc>
          <w:tcPr>
            <w:tcW w:w="4106" w:type="dxa"/>
          </w:tcPr>
          <w:p w14:paraId="11452453" w14:textId="77777777" w:rsidR="00A12150" w:rsidRPr="00A12150" w:rsidRDefault="00A12150" w:rsidP="00402DF8">
            <w:pPr>
              <w:spacing w:line="240" w:lineRule="auto"/>
              <w:rPr>
                <w:rFonts w:cs="Arial"/>
                <w:szCs w:val="24"/>
              </w:rPr>
            </w:pPr>
            <w:r w:rsidRPr="00A12150">
              <w:rPr>
                <w:rFonts w:cs="Arial"/>
                <w:szCs w:val="24"/>
              </w:rPr>
              <w:t>Universities</w:t>
            </w:r>
          </w:p>
        </w:tc>
        <w:tc>
          <w:tcPr>
            <w:tcW w:w="4910" w:type="dxa"/>
          </w:tcPr>
          <w:p w14:paraId="248F4139" w14:textId="77777777" w:rsidR="00A12150" w:rsidRPr="00A12150" w:rsidRDefault="00A12150" w:rsidP="00402DF8">
            <w:pPr>
              <w:spacing w:line="240" w:lineRule="auto"/>
              <w:rPr>
                <w:rFonts w:cs="Arial"/>
                <w:szCs w:val="24"/>
              </w:rPr>
            </w:pPr>
            <w:r w:rsidRPr="00A12150">
              <w:rPr>
                <w:rFonts w:cs="Arial"/>
                <w:szCs w:val="24"/>
              </w:rPr>
              <w:t>Year of Founding</w:t>
            </w:r>
          </w:p>
        </w:tc>
      </w:tr>
      <w:tr w:rsidR="00A12150" w:rsidRPr="00A12150" w14:paraId="45AE2F5F" w14:textId="77777777" w:rsidTr="0087740F">
        <w:tc>
          <w:tcPr>
            <w:tcW w:w="4106" w:type="dxa"/>
          </w:tcPr>
          <w:p w14:paraId="0FAD094B" w14:textId="77777777" w:rsidR="00A12150" w:rsidRPr="00A12150" w:rsidRDefault="00A12150" w:rsidP="00402DF8">
            <w:pPr>
              <w:spacing w:line="240" w:lineRule="auto"/>
              <w:rPr>
                <w:rFonts w:cs="Arial"/>
                <w:szCs w:val="24"/>
              </w:rPr>
            </w:pPr>
            <w:r w:rsidRPr="00A12150">
              <w:rPr>
                <w:rFonts w:cs="Arial"/>
                <w:szCs w:val="24"/>
              </w:rPr>
              <w:t>National University of Singapore</w:t>
            </w:r>
          </w:p>
        </w:tc>
        <w:tc>
          <w:tcPr>
            <w:tcW w:w="4910" w:type="dxa"/>
          </w:tcPr>
          <w:p w14:paraId="7C4A33B2" w14:textId="77777777" w:rsidR="00A12150" w:rsidRPr="00A12150" w:rsidRDefault="00A12150" w:rsidP="00402DF8">
            <w:pPr>
              <w:spacing w:line="240" w:lineRule="auto"/>
              <w:rPr>
                <w:rFonts w:cs="Arial"/>
                <w:szCs w:val="24"/>
              </w:rPr>
            </w:pPr>
            <w:r w:rsidRPr="00A12150">
              <w:rPr>
                <w:rFonts w:cs="Arial"/>
                <w:szCs w:val="24"/>
              </w:rPr>
              <w:t>1905 (as the Straits Settlements and Federated Malay States Government Medical School)</w:t>
            </w:r>
            <w:r w:rsidRPr="00A12150">
              <w:rPr>
                <w:rStyle w:val="FootnoteReference"/>
                <w:rFonts w:cs="Arial"/>
                <w:szCs w:val="24"/>
              </w:rPr>
              <w:footnoteReference w:id="6"/>
            </w:r>
          </w:p>
        </w:tc>
      </w:tr>
      <w:tr w:rsidR="00A12150" w:rsidRPr="00A12150" w14:paraId="1B774CAA" w14:textId="77777777" w:rsidTr="0087740F">
        <w:tc>
          <w:tcPr>
            <w:tcW w:w="4106" w:type="dxa"/>
          </w:tcPr>
          <w:p w14:paraId="465C2528" w14:textId="77777777" w:rsidR="00A12150" w:rsidRPr="00A12150" w:rsidRDefault="00A12150" w:rsidP="00402DF8">
            <w:pPr>
              <w:spacing w:line="240" w:lineRule="auto"/>
              <w:rPr>
                <w:rFonts w:cs="Arial"/>
                <w:szCs w:val="24"/>
              </w:rPr>
            </w:pPr>
            <w:r w:rsidRPr="00A12150">
              <w:rPr>
                <w:rFonts w:cs="Arial"/>
                <w:szCs w:val="24"/>
              </w:rPr>
              <w:t>Nanyang Technological University</w:t>
            </w:r>
          </w:p>
        </w:tc>
        <w:tc>
          <w:tcPr>
            <w:tcW w:w="4910" w:type="dxa"/>
          </w:tcPr>
          <w:p w14:paraId="580A3A9C" w14:textId="77777777" w:rsidR="00A12150" w:rsidRPr="00A12150" w:rsidRDefault="00A12150" w:rsidP="00402DF8">
            <w:pPr>
              <w:spacing w:line="240" w:lineRule="auto"/>
              <w:rPr>
                <w:rFonts w:cs="Arial"/>
                <w:szCs w:val="24"/>
              </w:rPr>
            </w:pPr>
            <w:r w:rsidRPr="00A12150">
              <w:rPr>
                <w:rFonts w:cs="Arial"/>
                <w:szCs w:val="24"/>
              </w:rPr>
              <w:t>1981 (as the Nanyang Technological Institute)</w:t>
            </w:r>
            <w:r w:rsidRPr="00A12150">
              <w:rPr>
                <w:rStyle w:val="FootnoteReference"/>
                <w:rFonts w:cs="Arial"/>
                <w:szCs w:val="24"/>
              </w:rPr>
              <w:footnoteReference w:id="7"/>
            </w:r>
          </w:p>
        </w:tc>
      </w:tr>
      <w:tr w:rsidR="00A12150" w:rsidRPr="00A12150" w14:paraId="4DD9B290" w14:textId="77777777" w:rsidTr="0087740F">
        <w:tc>
          <w:tcPr>
            <w:tcW w:w="4106" w:type="dxa"/>
          </w:tcPr>
          <w:p w14:paraId="4AC4CF01" w14:textId="77777777" w:rsidR="00A12150" w:rsidRPr="00A12150" w:rsidRDefault="00A12150" w:rsidP="00402DF8">
            <w:pPr>
              <w:spacing w:line="240" w:lineRule="auto"/>
              <w:rPr>
                <w:rFonts w:cs="Arial"/>
                <w:szCs w:val="24"/>
              </w:rPr>
            </w:pPr>
            <w:r w:rsidRPr="00A12150">
              <w:rPr>
                <w:rFonts w:cs="Arial"/>
                <w:szCs w:val="24"/>
              </w:rPr>
              <w:t>Singapore Management University</w:t>
            </w:r>
          </w:p>
        </w:tc>
        <w:tc>
          <w:tcPr>
            <w:tcW w:w="4910" w:type="dxa"/>
          </w:tcPr>
          <w:p w14:paraId="7B462A82" w14:textId="77777777" w:rsidR="00A12150" w:rsidRPr="00A12150" w:rsidRDefault="00A12150" w:rsidP="00402DF8">
            <w:pPr>
              <w:spacing w:line="240" w:lineRule="auto"/>
              <w:rPr>
                <w:rFonts w:cs="Arial"/>
                <w:szCs w:val="24"/>
              </w:rPr>
            </w:pPr>
            <w:r w:rsidRPr="00A12150">
              <w:rPr>
                <w:rFonts w:cs="Arial"/>
                <w:szCs w:val="24"/>
              </w:rPr>
              <w:t>2000</w:t>
            </w:r>
            <w:r w:rsidRPr="00A12150">
              <w:rPr>
                <w:rStyle w:val="FootnoteReference"/>
                <w:rFonts w:cs="Arial"/>
                <w:szCs w:val="24"/>
              </w:rPr>
              <w:footnoteReference w:id="8"/>
            </w:r>
          </w:p>
        </w:tc>
      </w:tr>
      <w:tr w:rsidR="00A12150" w:rsidRPr="00A12150" w14:paraId="3F694521" w14:textId="77777777" w:rsidTr="0087740F">
        <w:tc>
          <w:tcPr>
            <w:tcW w:w="4106" w:type="dxa"/>
          </w:tcPr>
          <w:p w14:paraId="33A42989" w14:textId="77777777" w:rsidR="00A12150" w:rsidRPr="00A12150" w:rsidRDefault="00A12150" w:rsidP="00402DF8">
            <w:pPr>
              <w:spacing w:line="240" w:lineRule="auto"/>
              <w:rPr>
                <w:rFonts w:cs="Arial"/>
                <w:szCs w:val="24"/>
              </w:rPr>
            </w:pPr>
            <w:r w:rsidRPr="00A12150">
              <w:rPr>
                <w:rFonts w:cs="Arial"/>
                <w:szCs w:val="24"/>
              </w:rPr>
              <w:t>Singapore University of Social Sciences</w:t>
            </w:r>
          </w:p>
        </w:tc>
        <w:tc>
          <w:tcPr>
            <w:tcW w:w="4910" w:type="dxa"/>
          </w:tcPr>
          <w:p w14:paraId="3BDA43D6" w14:textId="77777777" w:rsidR="00A12150" w:rsidRPr="00A12150" w:rsidRDefault="00A12150" w:rsidP="00402DF8">
            <w:pPr>
              <w:spacing w:line="240" w:lineRule="auto"/>
              <w:rPr>
                <w:rFonts w:cs="Arial"/>
                <w:szCs w:val="24"/>
              </w:rPr>
            </w:pPr>
            <w:r w:rsidRPr="00A12150">
              <w:rPr>
                <w:rFonts w:cs="Arial"/>
                <w:szCs w:val="24"/>
              </w:rPr>
              <w:t xml:space="preserve">2005 (as </w:t>
            </w:r>
            <w:proofErr w:type="spellStart"/>
            <w:r w:rsidRPr="00A12150">
              <w:rPr>
                <w:rFonts w:cs="Arial"/>
                <w:szCs w:val="24"/>
              </w:rPr>
              <w:t>UniSIM</w:t>
            </w:r>
            <w:proofErr w:type="spellEnd"/>
            <w:r w:rsidRPr="00A12150">
              <w:rPr>
                <w:rFonts w:cs="Arial"/>
                <w:szCs w:val="24"/>
              </w:rPr>
              <w:t>), autonomous university status in 2017</w:t>
            </w:r>
            <w:r w:rsidRPr="00A12150">
              <w:rPr>
                <w:rStyle w:val="FootnoteReference"/>
                <w:rFonts w:cs="Arial"/>
                <w:szCs w:val="24"/>
              </w:rPr>
              <w:footnoteReference w:id="9"/>
            </w:r>
          </w:p>
        </w:tc>
      </w:tr>
      <w:tr w:rsidR="00A12150" w:rsidRPr="00A12150" w14:paraId="1C319768" w14:textId="77777777" w:rsidTr="0087740F">
        <w:tc>
          <w:tcPr>
            <w:tcW w:w="4106" w:type="dxa"/>
          </w:tcPr>
          <w:p w14:paraId="448DDB67" w14:textId="77777777" w:rsidR="00A12150" w:rsidRPr="00A12150" w:rsidRDefault="00A12150" w:rsidP="00402DF8">
            <w:pPr>
              <w:spacing w:line="240" w:lineRule="auto"/>
              <w:rPr>
                <w:rFonts w:cs="Arial"/>
                <w:szCs w:val="24"/>
              </w:rPr>
            </w:pPr>
            <w:r w:rsidRPr="00A12150">
              <w:rPr>
                <w:rFonts w:cs="Arial"/>
                <w:szCs w:val="24"/>
              </w:rPr>
              <w:t>Singapore University of Technology and Design</w:t>
            </w:r>
          </w:p>
        </w:tc>
        <w:tc>
          <w:tcPr>
            <w:tcW w:w="4910" w:type="dxa"/>
          </w:tcPr>
          <w:p w14:paraId="1126E526" w14:textId="77777777" w:rsidR="00A12150" w:rsidRPr="00A12150" w:rsidRDefault="00A12150" w:rsidP="00402DF8">
            <w:pPr>
              <w:spacing w:line="240" w:lineRule="auto"/>
              <w:rPr>
                <w:rFonts w:cs="Arial"/>
                <w:szCs w:val="24"/>
              </w:rPr>
            </w:pPr>
            <w:r w:rsidRPr="00A12150">
              <w:rPr>
                <w:rFonts w:cs="Arial"/>
                <w:szCs w:val="24"/>
              </w:rPr>
              <w:t>2009</w:t>
            </w:r>
            <w:r w:rsidRPr="00A12150">
              <w:rPr>
                <w:rStyle w:val="FootnoteReference"/>
                <w:rFonts w:cs="Arial"/>
                <w:szCs w:val="24"/>
              </w:rPr>
              <w:footnoteReference w:id="10"/>
            </w:r>
          </w:p>
        </w:tc>
      </w:tr>
      <w:tr w:rsidR="00A12150" w:rsidRPr="00A12150" w14:paraId="0F5E1E0D" w14:textId="77777777" w:rsidTr="0087740F">
        <w:tc>
          <w:tcPr>
            <w:tcW w:w="4106" w:type="dxa"/>
          </w:tcPr>
          <w:p w14:paraId="358A37E4" w14:textId="77777777" w:rsidR="00A12150" w:rsidRPr="00A12150" w:rsidRDefault="00A12150" w:rsidP="00402DF8">
            <w:pPr>
              <w:spacing w:line="240" w:lineRule="auto"/>
              <w:rPr>
                <w:rFonts w:cs="Arial"/>
                <w:szCs w:val="24"/>
              </w:rPr>
            </w:pPr>
            <w:r w:rsidRPr="00A12150">
              <w:rPr>
                <w:rFonts w:cs="Arial"/>
                <w:szCs w:val="24"/>
              </w:rPr>
              <w:t>Singapore Institute of Technology</w:t>
            </w:r>
          </w:p>
        </w:tc>
        <w:tc>
          <w:tcPr>
            <w:tcW w:w="4910" w:type="dxa"/>
          </w:tcPr>
          <w:p w14:paraId="128EE7C5" w14:textId="77777777" w:rsidR="00A12150" w:rsidRPr="00A12150" w:rsidRDefault="00A12150" w:rsidP="00402DF8">
            <w:pPr>
              <w:spacing w:line="240" w:lineRule="auto"/>
              <w:rPr>
                <w:rFonts w:cs="Arial"/>
                <w:szCs w:val="24"/>
              </w:rPr>
            </w:pPr>
            <w:r w:rsidRPr="00A12150">
              <w:rPr>
                <w:rFonts w:cs="Arial"/>
                <w:szCs w:val="24"/>
              </w:rPr>
              <w:t>2009</w:t>
            </w:r>
            <w:r w:rsidRPr="00A12150">
              <w:rPr>
                <w:rStyle w:val="FootnoteReference"/>
                <w:rFonts w:cs="Arial"/>
                <w:szCs w:val="24"/>
              </w:rPr>
              <w:footnoteReference w:id="11"/>
            </w:r>
          </w:p>
        </w:tc>
      </w:tr>
      <w:tr w:rsidR="00A12150" w:rsidRPr="00A12150" w14:paraId="60647798" w14:textId="77777777" w:rsidTr="0087740F">
        <w:tc>
          <w:tcPr>
            <w:tcW w:w="4106" w:type="dxa"/>
          </w:tcPr>
          <w:p w14:paraId="28B39604" w14:textId="77777777" w:rsidR="00A12150" w:rsidRPr="00A12150" w:rsidRDefault="00A12150" w:rsidP="00402DF8">
            <w:pPr>
              <w:spacing w:line="240" w:lineRule="auto"/>
              <w:rPr>
                <w:rFonts w:cs="Arial"/>
                <w:szCs w:val="24"/>
              </w:rPr>
            </w:pPr>
            <w:r w:rsidRPr="00A12150">
              <w:rPr>
                <w:rFonts w:cs="Arial"/>
                <w:szCs w:val="24"/>
              </w:rPr>
              <w:t>University of the Arts Singapore</w:t>
            </w:r>
          </w:p>
        </w:tc>
        <w:tc>
          <w:tcPr>
            <w:tcW w:w="4910" w:type="dxa"/>
          </w:tcPr>
          <w:p w14:paraId="0C8EE143" w14:textId="248C2A07" w:rsidR="00A12150" w:rsidRPr="00A12150" w:rsidRDefault="00A12150" w:rsidP="00402DF8">
            <w:pPr>
              <w:spacing w:line="240" w:lineRule="auto"/>
              <w:rPr>
                <w:rFonts w:cs="Arial"/>
                <w:szCs w:val="24"/>
              </w:rPr>
            </w:pPr>
            <w:r w:rsidRPr="00A12150">
              <w:rPr>
                <w:rFonts w:cs="Arial"/>
                <w:szCs w:val="24"/>
              </w:rPr>
              <w:t>2024</w:t>
            </w:r>
            <w:r w:rsidRPr="00A12150">
              <w:rPr>
                <w:rStyle w:val="FootnoteReference"/>
                <w:rFonts w:cs="Arial"/>
                <w:szCs w:val="24"/>
              </w:rPr>
              <w:footnoteReference w:id="12"/>
            </w:r>
            <w:r w:rsidR="009D5898">
              <w:rPr>
                <w:rFonts w:cs="Arial"/>
                <w:szCs w:val="24"/>
              </w:rPr>
              <w:t xml:space="preserve"> (1938, NAFA</w:t>
            </w:r>
            <w:r w:rsidR="00A316B5">
              <w:rPr>
                <w:rStyle w:val="FootnoteReference"/>
                <w:rFonts w:cs="Arial"/>
                <w:szCs w:val="24"/>
              </w:rPr>
              <w:footnoteReference w:id="13"/>
            </w:r>
            <w:r w:rsidR="009D5898">
              <w:rPr>
                <w:rFonts w:cs="Arial"/>
                <w:szCs w:val="24"/>
              </w:rPr>
              <w:t>; 1984, LASALLE College</w:t>
            </w:r>
            <w:r w:rsidR="00745C53">
              <w:rPr>
                <w:rStyle w:val="FootnoteReference"/>
                <w:rFonts w:cs="Arial"/>
                <w:szCs w:val="24"/>
              </w:rPr>
              <w:footnoteReference w:id="14"/>
            </w:r>
            <w:r w:rsidR="009D5898">
              <w:rPr>
                <w:rFonts w:cs="Arial"/>
                <w:szCs w:val="24"/>
              </w:rPr>
              <w:t>)</w:t>
            </w:r>
          </w:p>
        </w:tc>
      </w:tr>
    </w:tbl>
    <w:p w14:paraId="094CDB2A" w14:textId="77777777" w:rsidR="00A12150" w:rsidRPr="00A12150" w:rsidRDefault="00A12150" w:rsidP="00A12150">
      <w:pPr>
        <w:jc w:val="both"/>
        <w:rPr>
          <w:rFonts w:cs="Arial"/>
          <w:szCs w:val="24"/>
        </w:rPr>
      </w:pPr>
    </w:p>
    <w:p w14:paraId="64807EAC" w14:textId="77777777" w:rsidR="00A12150" w:rsidRPr="00A12150" w:rsidRDefault="00A12150" w:rsidP="00A12150">
      <w:pPr>
        <w:jc w:val="both"/>
        <w:rPr>
          <w:rFonts w:cs="Arial"/>
          <w:szCs w:val="24"/>
        </w:rPr>
      </w:pPr>
      <w:r w:rsidRPr="00A12150">
        <w:rPr>
          <w:rFonts w:cs="Arial"/>
          <w:szCs w:val="24"/>
        </w:rPr>
        <w:t>Similarly, the number of universities had increased. At independence, there was only the predecessor institution of the National University of Singapore; 2024 will see the launch of the University of the Arts Singapore, itself an amalgamation of two arts education institutions.</w:t>
      </w:r>
    </w:p>
    <w:p w14:paraId="16DC18B3" w14:textId="02EB7CA9" w:rsidR="00772154" w:rsidRDefault="00402DF8" w:rsidP="00BA06C1">
      <w:pPr>
        <w:rPr>
          <w:rFonts w:cs="Arial"/>
        </w:rPr>
      </w:pPr>
      <w:r>
        <w:rPr>
          <w:rFonts w:cs="Arial"/>
          <w:noProof/>
        </w:rPr>
        <w:lastRenderedPageBreak/>
        <w:drawing>
          <wp:inline distT="0" distB="0" distL="0" distR="0" wp14:anchorId="32D9C9A0" wp14:editId="21883F27">
            <wp:extent cx="5753100" cy="731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315200"/>
                    </a:xfrm>
                    <a:prstGeom prst="rect">
                      <a:avLst/>
                    </a:prstGeom>
                    <a:noFill/>
                    <a:ln>
                      <a:noFill/>
                    </a:ln>
                  </pic:spPr>
                </pic:pic>
              </a:graphicData>
            </a:graphic>
          </wp:inline>
        </w:drawing>
      </w:r>
    </w:p>
    <w:p w14:paraId="14AC4972" w14:textId="296BCA79" w:rsidR="00772154" w:rsidRPr="007F1E02" w:rsidRDefault="00772154" w:rsidP="00772154">
      <w:pPr>
        <w:jc w:val="center"/>
        <w:rPr>
          <w:rFonts w:cs="Arial"/>
        </w:rPr>
      </w:pPr>
    </w:p>
    <w:p w14:paraId="308A59A8" w14:textId="27434BD1" w:rsidR="00772154" w:rsidRDefault="00772154" w:rsidP="00772154">
      <w:pPr>
        <w:jc w:val="center"/>
        <w:rPr>
          <w:rFonts w:cs="Arial"/>
        </w:rPr>
      </w:pPr>
    </w:p>
    <w:p w14:paraId="789F11AE" w14:textId="77777777" w:rsidR="00772154" w:rsidRDefault="00772154" w:rsidP="00772154">
      <w:pPr>
        <w:jc w:val="both"/>
        <w:rPr>
          <w:rFonts w:cs="Arial"/>
        </w:rPr>
      </w:pPr>
      <w:r w:rsidRPr="00B24EFA">
        <w:rPr>
          <w:rFonts w:cs="Arial"/>
        </w:rPr>
        <w:lastRenderedPageBreak/>
        <w:t xml:space="preserve">These changes in the 2000s and 2010s were part of an overall shift in economic development towards an economy requiring higher levels of skills and education, with an emphasis on “innovation” – creating new industrial niches where Singapore could create value and be distinct in a global economy characterised by competition. </w:t>
      </w:r>
    </w:p>
    <w:p w14:paraId="0976442A" w14:textId="77777777" w:rsidR="00772154" w:rsidRDefault="00772154" w:rsidP="00745C53">
      <w:pPr>
        <w:rPr>
          <w:rFonts w:cs="Arial"/>
        </w:rPr>
      </w:pPr>
      <w:r>
        <w:rPr>
          <w:noProof/>
        </w:rPr>
        <w:drawing>
          <wp:inline distT="0" distB="0" distL="0" distR="0" wp14:anchorId="3C14F081" wp14:editId="6FE7F0AF">
            <wp:extent cx="3740046" cy="2840636"/>
            <wp:effectExtent l="0" t="0" r="6985" b="17145"/>
            <wp:docPr id="7" name="Chart 7">
              <a:extLst xmlns:a="http://schemas.openxmlformats.org/drawingml/2006/main">
                <a:ext uri="{FF2B5EF4-FFF2-40B4-BE49-F238E27FC236}">
                  <a16:creationId xmlns:a16="http://schemas.microsoft.com/office/drawing/2014/main" id="{D2EAB303-9AEC-CA41-8ED2-76754E3AB7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21ADCA" w14:textId="77777777" w:rsidR="00772154" w:rsidRDefault="00772154" w:rsidP="00772154">
      <w:pPr>
        <w:jc w:val="both"/>
        <w:rPr>
          <w:rFonts w:cs="Arial"/>
        </w:rPr>
      </w:pPr>
      <w:r>
        <w:rPr>
          <w:rFonts w:cs="Arial"/>
        </w:rPr>
        <w:t>The change in the skill level of the population can also be seen through the changing HQA proportion in the population. In 1970, residents with university-level and higher qualifications only constituted 1% of the resident population;</w:t>
      </w:r>
      <w:r>
        <w:rPr>
          <w:rStyle w:val="FootnoteReference"/>
          <w:rFonts w:cs="Arial"/>
        </w:rPr>
        <w:footnoteReference w:id="15"/>
      </w:r>
      <w:r>
        <w:rPr>
          <w:rFonts w:cs="Arial"/>
        </w:rPr>
        <w:t xml:space="preserve"> this dramatically increased with HQA-university at 10% in 2000, and at 27% in 2020. The effect is also seen in the reverse, with primary and primary and below qualification proportions falling from 93% in 1970 to 25% in 2020.</w:t>
      </w:r>
      <w:r>
        <w:rPr>
          <w:rStyle w:val="FootnoteReference"/>
          <w:rFonts w:cs="Arial"/>
        </w:rPr>
        <w:footnoteReference w:id="16"/>
      </w:r>
      <w:r>
        <w:rPr>
          <w:rFonts w:cs="Arial"/>
        </w:rPr>
        <w:t xml:space="preserve"> This indicates that the stock of human capital in Singapore had increased in the time period. </w:t>
      </w:r>
    </w:p>
    <w:p w14:paraId="6027ED6C" w14:textId="357DF095" w:rsidR="009B474D" w:rsidRDefault="009B474D" w:rsidP="009B474D">
      <w:pPr>
        <w:jc w:val="both"/>
        <w:rPr>
          <w:rFonts w:eastAsia="Calibri" w:cs="Arial"/>
          <w:bCs/>
          <w:color w:val="000000"/>
          <w:szCs w:val="24"/>
        </w:rPr>
      </w:pPr>
    </w:p>
    <w:p w14:paraId="3B835461" w14:textId="77777777" w:rsidR="007349BB" w:rsidRPr="009B474D" w:rsidRDefault="007349BB" w:rsidP="009B474D">
      <w:pPr>
        <w:jc w:val="both"/>
        <w:rPr>
          <w:rFonts w:eastAsia="Calibri" w:cs="Arial"/>
          <w:bCs/>
          <w:color w:val="000000"/>
          <w:szCs w:val="24"/>
        </w:rPr>
      </w:pPr>
    </w:p>
    <w:p w14:paraId="3470887F" w14:textId="607D7FB3" w:rsidR="009B474D" w:rsidRDefault="00467D2A" w:rsidP="00772154">
      <w:pPr>
        <w:pStyle w:val="Heading1"/>
      </w:pPr>
      <w:r>
        <w:lastRenderedPageBreak/>
        <w:t>4</w:t>
      </w:r>
      <w:r w:rsidR="009B474D" w:rsidRPr="009B474D">
        <w:t xml:space="preserve">. </w:t>
      </w:r>
      <w:r w:rsidR="00772154">
        <w:t>AN AGEING SOCIETY</w:t>
      </w:r>
    </w:p>
    <w:p w14:paraId="2D399CAC" w14:textId="688E0772" w:rsidR="00772154" w:rsidRDefault="00772154" w:rsidP="00772154">
      <w:pPr>
        <w:jc w:val="both"/>
        <w:rPr>
          <w:rFonts w:cs="Arial"/>
        </w:rPr>
      </w:pPr>
      <w:r>
        <w:rPr>
          <w:rFonts w:cs="Arial"/>
        </w:rPr>
        <w:t xml:space="preserve">Singapore’s FDD was facilitated by a declining total fertility rate (TFR), with TFR declining from a 4.66 in 1965 to about 1.12 in 2020. The TFR had dipped below replacement rate of 2.1 by about 1976 </w:t>
      </w:r>
      <w:r>
        <w:rPr>
          <w:rFonts w:cs="Arial"/>
        </w:rPr>
        <w:fldChar w:fldCharType="begin"/>
      </w:r>
      <w:r w:rsidR="005C6C38">
        <w:rPr>
          <w:rFonts w:cs="Arial"/>
        </w:rPr>
        <w:instrText xml:space="preserve"> ADDIN ZOTERO_ITEM CSL_CITATION {"citationID":"5fgDs56D","properties":{"formattedCitation":"(Singapore Department of Statistics &amp; Immigration and Checkpoints Authority, 2022)","plainCitation":"(Singapore Department of Statistics &amp; Immigration and Checkpoints Authority, 2022)","noteIndex":0},"citationItems":[{"id":742,"uris":["http://zotero.org/users/7533545/items/8FEQL9SY"],"itemData":{"id":742,"type":"webpage","abstract":"View, customise and download data table using the selections and dropdowns. Explore functions available in the table view. Get information on data table via the Metadata panel.","language":"en","title":"(DOS) | SingStat Table Builder – Births And Fertility Rates","URL":"https://tablebuilder.singstat.gov.sg/table/TS/M810091","author":[{"family":"Singapore Department of Statistics","given":""},{"family":"Immigration and Checkpoints Authority","given":""}],"accessed":{"date-parts":[["2022",5,5]]},"issued":{"date-parts":[["2022",3,3]]}}}],"schema":"https://github.com/citation-style-language/schema/raw/master/csl-citation.json"} </w:instrText>
      </w:r>
      <w:r>
        <w:rPr>
          <w:rFonts w:cs="Arial"/>
        </w:rPr>
        <w:fldChar w:fldCharType="separate"/>
      </w:r>
      <w:r w:rsidRPr="00DE0310">
        <w:rPr>
          <w:rFonts w:cs="Arial"/>
        </w:rPr>
        <w:t>(Singapore Department of Statistics &amp; Immigration and Checkpoints Authority, 2022)</w:t>
      </w:r>
      <w:r>
        <w:rPr>
          <w:rFonts w:cs="Arial"/>
        </w:rPr>
        <w:fldChar w:fldCharType="end"/>
      </w:r>
      <w:r>
        <w:rPr>
          <w:rFonts w:cs="Arial"/>
        </w:rPr>
        <w:t xml:space="preserve">. The falling fertility rate indicates a smaller number of both young and old dependents, as the large size of the working age population had not grown old yet. </w:t>
      </w:r>
    </w:p>
    <w:p w14:paraId="73C5FB8A" w14:textId="77777777" w:rsidR="00772154" w:rsidRDefault="00772154" w:rsidP="00772154">
      <w:pPr>
        <w:jc w:val="both"/>
        <w:rPr>
          <w:rFonts w:cs="Arial"/>
        </w:rPr>
      </w:pPr>
    </w:p>
    <w:p w14:paraId="163C3E8A" w14:textId="6BDB587B" w:rsidR="00772154" w:rsidRDefault="00772154" w:rsidP="00772154">
      <w:pPr>
        <w:jc w:val="both"/>
        <w:rPr>
          <w:rFonts w:cs="Arial"/>
        </w:rPr>
      </w:pPr>
      <w:r w:rsidRPr="00B24EFA">
        <w:rPr>
          <w:rFonts w:cs="Arial"/>
        </w:rPr>
        <w:t xml:space="preserve">The proportion of the population aged </w:t>
      </w:r>
      <w:r>
        <w:rPr>
          <w:rFonts w:cs="Arial"/>
        </w:rPr>
        <w:t>70</w:t>
      </w:r>
      <w:r w:rsidRPr="00B24EFA">
        <w:rPr>
          <w:rFonts w:cs="Arial"/>
        </w:rPr>
        <w:t xml:space="preserve"> and over had increased from</w:t>
      </w:r>
      <w:r>
        <w:rPr>
          <w:rFonts w:cs="Arial"/>
        </w:rPr>
        <w:t xml:space="preserve"> about 2</w:t>
      </w:r>
      <w:r w:rsidRPr="00B24EFA">
        <w:rPr>
          <w:rFonts w:cs="Arial"/>
        </w:rPr>
        <w:t xml:space="preserve">% in 1970 to </w:t>
      </w:r>
      <w:r>
        <w:rPr>
          <w:rFonts w:cs="Arial"/>
        </w:rPr>
        <w:t>10</w:t>
      </w:r>
      <w:r w:rsidRPr="00B24EFA">
        <w:rPr>
          <w:rFonts w:cs="Arial"/>
        </w:rPr>
        <w:t>% in 2020.</w:t>
      </w:r>
      <w:r>
        <w:rPr>
          <w:rFonts w:cs="Arial"/>
        </w:rPr>
        <w:t xml:space="preserve"> At the same time, life expectancy had increased from 64.5 years at birth to 83.9 years at birth in 2020 </w:t>
      </w:r>
      <w:r>
        <w:rPr>
          <w:rFonts w:cs="Arial"/>
        </w:rPr>
        <w:fldChar w:fldCharType="begin"/>
      </w:r>
      <w:r w:rsidR="005C6C38">
        <w:rPr>
          <w:rFonts w:cs="Arial"/>
        </w:rPr>
        <w:instrText xml:space="preserve"> ADDIN ZOTERO_ITEM CSL_CITATION {"citationID":"npSGy2Vp","properties":{"formattedCitation":"(Singapore Department of Statistics, 2021)","plainCitation":"(Singapore Department of Statistics, 2021)","noteIndex":0},"citationItems":[{"id":738,"uris":["http://zotero.org/users/7533545/items/NVWP87IL"],"itemData":{"id":738,"type":"webpage","abstract":"View, customise and download data table using the selections and dropdowns. Explore functions available in the table view. Get information on data table via the Metadata panel.","language":"en","title":"(DOS) | SingStat Table Builder – Life Expectancy By Sex","URL":"https://tablebuilder.singstat.gov.sg/table/TS/M810501","author":[{"family":"Singapore Department of Statistics","given":""}],"accessed":{"date-parts":[["2022",5,5]]},"issued":{"date-parts":[["2021",5,25]]}}}],"schema":"https://github.com/citation-style-language/schema/raw/master/csl-citation.json"} </w:instrText>
      </w:r>
      <w:r>
        <w:rPr>
          <w:rFonts w:cs="Arial"/>
        </w:rPr>
        <w:fldChar w:fldCharType="separate"/>
      </w:r>
      <w:r w:rsidRPr="00DE0310">
        <w:rPr>
          <w:rFonts w:cs="Arial"/>
        </w:rPr>
        <w:t>(Singapore Department of Statistics, 2021)</w:t>
      </w:r>
      <w:r>
        <w:rPr>
          <w:rFonts w:cs="Arial"/>
        </w:rPr>
        <w:fldChar w:fldCharType="end"/>
      </w:r>
      <w:r>
        <w:rPr>
          <w:rFonts w:cs="Arial"/>
        </w:rPr>
        <w:t xml:space="preserve">.  </w:t>
      </w:r>
    </w:p>
    <w:p w14:paraId="2037F59F" w14:textId="77777777" w:rsidR="00772154" w:rsidRDefault="00772154" w:rsidP="00745C53">
      <w:pPr>
        <w:rPr>
          <w:rFonts w:cs="Arial"/>
        </w:rPr>
      </w:pPr>
      <w:r>
        <w:rPr>
          <w:noProof/>
        </w:rPr>
        <w:drawing>
          <wp:inline distT="0" distB="0" distL="0" distR="0" wp14:anchorId="11B6E9BB" wp14:editId="3BEA7EA6">
            <wp:extent cx="2717321" cy="2441275"/>
            <wp:effectExtent l="0" t="0" r="13335" b="10160"/>
            <wp:docPr id="8" name="Chart 8">
              <a:extLst xmlns:a="http://schemas.openxmlformats.org/drawingml/2006/main">
                <a:ext uri="{FF2B5EF4-FFF2-40B4-BE49-F238E27FC236}">
                  <a16:creationId xmlns:a16="http://schemas.microsoft.com/office/drawing/2014/main" id="{7CA43940-0095-304E-A22D-4DC959F1B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4F8C61F8" wp14:editId="576C9FAF">
            <wp:extent cx="2743200" cy="2440521"/>
            <wp:effectExtent l="0" t="0" r="12700" b="10795"/>
            <wp:docPr id="10" name="Chart 10">
              <a:extLst xmlns:a="http://schemas.openxmlformats.org/drawingml/2006/main">
                <a:ext uri="{FF2B5EF4-FFF2-40B4-BE49-F238E27FC236}">
                  <a16:creationId xmlns:a16="http://schemas.microsoft.com/office/drawing/2014/main" id="{197AC0F6-E7A8-BD4C-94F2-829AE32D7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6A52A" w14:textId="77777777" w:rsidR="00772154" w:rsidRDefault="00772154" w:rsidP="00772154">
      <w:pPr>
        <w:jc w:val="both"/>
        <w:rPr>
          <w:rFonts w:cs="Arial"/>
        </w:rPr>
      </w:pPr>
    </w:p>
    <w:p w14:paraId="42893791" w14:textId="2FB4CE2E" w:rsidR="00772154" w:rsidRDefault="00772154" w:rsidP="00745C53">
      <w:pPr>
        <w:rPr>
          <w:rFonts w:cs="Arial"/>
        </w:rPr>
      </w:pPr>
      <w:r>
        <w:rPr>
          <w:noProof/>
        </w:rPr>
        <w:lastRenderedPageBreak/>
        <w:drawing>
          <wp:inline distT="0" distB="0" distL="0" distR="0" wp14:anchorId="619457A2" wp14:editId="4BD0F018">
            <wp:extent cx="2838091" cy="3001992"/>
            <wp:effectExtent l="0" t="0" r="6985" b="8255"/>
            <wp:docPr id="9" name="Chart 9">
              <a:extLst xmlns:a="http://schemas.openxmlformats.org/drawingml/2006/main">
                <a:ext uri="{FF2B5EF4-FFF2-40B4-BE49-F238E27FC236}">
                  <a16:creationId xmlns:a16="http://schemas.microsoft.com/office/drawing/2014/main" id="{58505F88-EB1D-C440-81B6-39C7DB2FC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257B10" w14:textId="0D4FE0A3" w:rsidR="00772154" w:rsidRDefault="00772154" w:rsidP="00772154">
      <w:pPr>
        <w:jc w:val="both"/>
        <w:rPr>
          <w:rFonts w:cs="Arial"/>
        </w:rPr>
      </w:pPr>
      <w:r>
        <w:rPr>
          <w:rFonts w:cs="Arial"/>
        </w:rPr>
        <w:t>As a result of both the low TFR and the increase in life expectancy, the proportion of Singapore residents aged 70 years had increased drastically, from less than two percent in 1970, to about 9.5% in 2020.</w:t>
      </w:r>
      <w:r>
        <w:rPr>
          <w:rStyle w:val="FootnoteReference"/>
          <w:rFonts w:cs="Arial"/>
        </w:rPr>
        <w:footnoteReference w:id="17"/>
      </w:r>
      <w:r>
        <w:rPr>
          <w:rFonts w:cs="Arial"/>
        </w:rPr>
        <w:t xml:space="preserve"> </w:t>
      </w:r>
    </w:p>
    <w:p w14:paraId="4C69784C" w14:textId="77777777" w:rsidR="00772154" w:rsidRDefault="00772154" w:rsidP="00772154">
      <w:pPr>
        <w:jc w:val="both"/>
        <w:rPr>
          <w:rFonts w:cs="Arial"/>
        </w:rPr>
      </w:pPr>
    </w:p>
    <w:p w14:paraId="29EECFEF" w14:textId="0538E676" w:rsidR="00772154" w:rsidRDefault="00772154" w:rsidP="00772154">
      <w:pPr>
        <w:jc w:val="both"/>
        <w:rPr>
          <w:rFonts w:cs="Arial"/>
        </w:rPr>
      </w:pPr>
      <w:r w:rsidRPr="00B24EFA">
        <w:rPr>
          <w:rFonts w:cs="Arial"/>
        </w:rPr>
        <w:t>This would mean that the number of effective consumers would also be increasing as a proportion of the population. As this figure rises, the ESR can drop below 1, requiring greater transfers from both private households and from the state</w:t>
      </w:r>
      <w:r>
        <w:rPr>
          <w:rFonts w:cs="Arial"/>
        </w:rPr>
        <w:t xml:space="preserve"> as health consumption increases for the age group. </w:t>
      </w:r>
    </w:p>
    <w:p w14:paraId="72EDF117" w14:textId="77777777" w:rsidR="00772154" w:rsidRDefault="00772154" w:rsidP="00772154">
      <w:pPr>
        <w:jc w:val="both"/>
        <w:rPr>
          <w:rFonts w:cs="Arial"/>
        </w:rPr>
      </w:pPr>
    </w:p>
    <w:p w14:paraId="49ABC35D" w14:textId="2D46F059" w:rsidR="00772154" w:rsidRDefault="00772154" w:rsidP="00772154">
      <w:pPr>
        <w:jc w:val="both"/>
        <w:rPr>
          <w:rFonts w:cs="Arial"/>
        </w:rPr>
      </w:pPr>
      <w:r w:rsidRPr="00B24EFA">
        <w:rPr>
          <w:rFonts w:cs="Arial"/>
        </w:rPr>
        <w:t xml:space="preserve">However, this shift towards an aged society and with a sub-one ESR situation is ameliorated by the rise in HQA of the population. Over time, residents in Singapore have had the opportunity to advance in education, climbing up higher rungs in education progression. </w:t>
      </w:r>
      <w:r>
        <w:rPr>
          <w:rFonts w:cs="Arial"/>
        </w:rPr>
        <w:t>P</w:t>
      </w:r>
      <w:r w:rsidRPr="00B24EFA">
        <w:rPr>
          <w:rFonts w:cs="Arial"/>
        </w:rPr>
        <w:t xml:space="preserve">eople are advancing in education either with post-secondary </w:t>
      </w:r>
      <w:r w:rsidRPr="00B24EFA">
        <w:rPr>
          <w:rFonts w:cs="Arial"/>
        </w:rPr>
        <w:lastRenderedPageBreak/>
        <w:t xml:space="preserve">qualifications or university qualifications. As they become more educated, they obtain more skills that are provide higher incomes in the market. As the proportion of residents acquire higher levels of HQA, they can also provide more income, compensating for the increase in the elderly dependents in the population, up to a point. </w:t>
      </w:r>
    </w:p>
    <w:p w14:paraId="157F5CE1" w14:textId="77777777" w:rsidR="00772154" w:rsidRDefault="00772154" w:rsidP="00772154">
      <w:pPr>
        <w:jc w:val="both"/>
        <w:rPr>
          <w:rFonts w:cs="Arial"/>
        </w:rPr>
      </w:pPr>
    </w:p>
    <w:p w14:paraId="5D72A1D2" w14:textId="77777777" w:rsidR="00772154" w:rsidRPr="00B24EFA" w:rsidRDefault="00772154" w:rsidP="00772154">
      <w:pPr>
        <w:jc w:val="both"/>
        <w:rPr>
          <w:rFonts w:cs="Arial"/>
        </w:rPr>
      </w:pPr>
      <w:r w:rsidRPr="00B24EFA">
        <w:rPr>
          <w:rFonts w:cs="Arial"/>
        </w:rPr>
        <w:t>We are therefore interested in the contributions of the age structure and the HQA of different segments of the population</w:t>
      </w:r>
      <w:r>
        <w:rPr>
          <w:rFonts w:cs="Arial"/>
        </w:rPr>
        <w:t xml:space="preserve"> throughout the period of Singapore’s history to the economic support ratio. </w:t>
      </w:r>
    </w:p>
    <w:p w14:paraId="2430BDE9" w14:textId="155A237E" w:rsidR="00AF2B8D" w:rsidRDefault="00AF2B8D" w:rsidP="00AF2B8D">
      <w:pPr>
        <w:pBdr>
          <w:top w:val="nil"/>
          <w:left w:val="nil"/>
          <w:bottom w:val="nil"/>
          <w:right w:val="nil"/>
          <w:between w:val="nil"/>
        </w:pBdr>
        <w:spacing w:after="200"/>
        <w:jc w:val="both"/>
        <w:rPr>
          <w:rFonts w:eastAsia="Calibri" w:cs="Arial"/>
          <w:bCs/>
          <w:color w:val="000000"/>
          <w:szCs w:val="24"/>
        </w:rPr>
      </w:pPr>
    </w:p>
    <w:p w14:paraId="15F11580" w14:textId="2DCDE75D" w:rsidR="009B474D" w:rsidRDefault="00467D2A" w:rsidP="00772154">
      <w:pPr>
        <w:pStyle w:val="Heading1"/>
      </w:pPr>
      <w:r>
        <w:t>5</w:t>
      </w:r>
      <w:r w:rsidR="009B474D" w:rsidRPr="009B474D">
        <w:t xml:space="preserve">. </w:t>
      </w:r>
      <w:r w:rsidR="0087740F">
        <w:t>METHODOLOGY</w:t>
      </w:r>
    </w:p>
    <w:p w14:paraId="1127495A" w14:textId="0987DB40" w:rsidR="00772154" w:rsidRDefault="00772154" w:rsidP="00772154">
      <w:pPr>
        <w:jc w:val="both"/>
        <w:rPr>
          <w:rFonts w:cs="Arial"/>
        </w:rPr>
      </w:pPr>
      <w:r w:rsidRPr="00B24EFA">
        <w:rPr>
          <w:rFonts w:cs="Arial"/>
        </w:rPr>
        <w:t>The technique used to determine the contributions come from the Das Gupta decomposition technique</w:t>
      </w:r>
      <w:r>
        <w:rPr>
          <w:rFonts w:cs="Arial"/>
        </w:rPr>
        <w:t xml:space="preserve"> </w:t>
      </w:r>
      <w:r>
        <w:rPr>
          <w:rFonts w:cs="Arial"/>
        </w:rPr>
        <w:fldChar w:fldCharType="begin"/>
      </w:r>
      <w:r w:rsidR="005C6C38">
        <w:rPr>
          <w:rFonts w:cs="Arial"/>
        </w:rPr>
        <w:instrText xml:space="preserve"> ADDIN ZOTERO_ITEM CSL_CITATION {"citationID":"OBREDHM9","properties":{"formattedCitation":"(Das Gupta, 1993)","plainCitation":"(Das Gupta, 1993)","dontUpdate":true,"noteIndex":0},"citationItems":[{"id":741,"uris":["http://zotero.org/users/7533545/items/KU8URK32"],"itemData":{"id":741,"type":"document","publisher":"U.S. Government Printing Office","title":"Standardization and Decomposition of Rates: A User's Manual","author":[{"family":"Das Gupta","given":"Prithwis"}],"issued":{"date-parts":[["1993",10]]}}}],"schema":"https://github.com/citation-style-language/schema/raw/master/csl-citation.json"} </w:instrText>
      </w:r>
      <w:r>
        <w:rPr>
          <w:rFonts w:cs="Arial"/>
        </w:rPr>
        <w:fldChar w:fldCharType="separate"/>
      </w:r>
      <w:r w:rsidRPr="007E182D">
        <w:rPr>
          <w:rFonts w:cs="Arial"/>
        </w:rPr>
        <w:t>(1993)</w:t>
      </w:r>
      <w:r>
        <w:rPr>
          <w:rFonts w:cs="Arial"/>
        </w:rPr>
        <w:fldChar w:fldCharType="end"/>
      </w:r>
      <w:r w:rsidRPr="00B24EFA">
        <w:rPr>
          <w:rFonts w:cs="Arial"/>
        </w:rPr>
        <w:t xml:space="preserve">, a way to understand how changes of the different factors change a distribution. This technique has been used in different papers. </w:t>
      </w:r>
    </w:p>
    <w:p w14:paraId="01452EF5" w14:textId="77777777" w:rsidR="00772154" w:rsidRPr="00B24EFA" w:rsidRDefault="00772154" w:rsidP="00772154">
      <w:pPr>
        <w:jc w:val="both"/>
        <w:rPr>
          <w:rFonts w:cs="Arial"/>
        </w:rPr>
      </w:pPr>
    </w:p>
    <w:p w14:paraId="2B35B59F" w14:textId="34E14A70" w:rsidR="00772154" w:rsidRDefault="00772154" w:rsidP="00772154">
      <w:pPr>
        <w:rPr>
          <w:rFonts w:eastAsiaTheme="minorEastAsia" w:cs="Arial"/>
        </w:rPr>
      </w:pPr>
      <w:r>
        <w:rPr>
          <w:rFonts w:cs="Arial"/>
        </w:rPr>
        <w:t xml:space="preserve">The implementation of the decomposition follows similar efforts from Renteria and Islam. This paper, similar to Islam (2019) and Renteria et al. (2016). In this procedure,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rPr>
          <w:rFonts w:eastAsiaTheme="minorEastAsia" w:cs="Arial"/>
        </w:rPr>
        <w:t xml:space="preserve"> and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ij</m:t>
            </m:r>
          </m:sub>
        </m:sSub>
        <m:r>
          <w:rPr>
            <w:rFonts w:ascii="Cambria Math" w:eastAsiaTheme="minorEastAsia" w:hAnsi="Cambria Math"/>
          </w:rPr>
          <m:t xml:space="preserve"> </m:t>
        </m:r>
      </m:oMath>
      <w:r w:rsidR="00257F18">
        <w:rPr>
          <w:rFonts w:eastAsiaTheme="minorEastAsia" w:cs="Arial"/>
        </w:rPr>
        <w:t>(below) r</w:t>
      </w:r>
      <w:proofErr w:type="spellStart"/>
      <w:r>
        <w:rPr>
          <w:rFonts w:eastAsiaTheme="minorEastAsia" w:cs="Arial"/>
        </w:rPr>
        <w:t>epresent</w:t>
      </w:r>
      <w:proofErr w:type="spellEnd"/>
      <w:r>
        <w:rPr>
          <w:rFonts w:eastAsiaTheme="minorEastAsia" w:cs="Arial"/>
        </w:rPr>
        <w:t xml:space="preserve"> the variation in the population due to age structure and education characteristics respectively. To do so we obtain the income and consumption profiles at various ages and educations status of the population from the different census years. </w:t>
      </w:r>
    </w:p>
    <w:p w14:paraId="23306D9C" w14:textId="13E9AE33" w:rsidR="00D5790D" w:rsidRDefault="00D5790D" w:rsidP="00772154">
      <w:pPr>
        <w:rPr>
          <w:rFonts w:eastAsiaTheme="minorEastAsia" w:cs="Arial"/>
        </w:rPr>
      </w:pPr>
    </w:p>
    <w:p w14:paraId="06CC9AAB" w14:textId="1E74C67B" w:rsidR="00D5790D" w:rsidRPr="00A73959" w:rsidRDefault="00D5790D" w:rsidP="00772154">
      <w:pPr>
        <w:rPr>
          <w:rFonts w:eastAsiaTheme="minorEastAsia" w:cs="Arial"/>
        </w:rPr>
      </w:pPr>
      <w:r w:rsidRPr="00A73959">
        <w:rPr>
          <w:rFonts w:eastAsiaTheme="minorEastAsia" w:cs="Arial"/>
        </w:rPr>
        <w:t>As a guide to the equations:</w:t>
      </w:r>
    </w:p>
    <w:p w14:paraId="00EF291D" w14:textId="18AD19F9" w:rsidR="00D5790D" w:rsidRDefault="00CB46A2" w:rsidP="00D5790D">
      <w:pPr>
        <w:pStyle w:val="ListParagraph"/>
        <w:numPr>
          <w:ilvl w:val="0"/>
          <w:numId w:val="23"/>
        </w:numPr>
        <w:rPr>
          <w:rFonts w:ascii="Arial" w:eastAsiaTheme="minorEastAsia" w:hAnsi="Arial" w:cs="Arial"/>
        </w:rPr>
      </w:pPr>
      <w:r w:rsidRPr="00A73959">
        <w:rPr>
          <w:rFonts w:ascii="Arial" w:eastAsiaTheme="minorEastAsia" w:hAnsi="Arial" w:cs="Arial"/>
        </w:rPr>
        <w:t>The subscript</w:t>
      </w:r>
      <w:r w:rsidR="00E04107">
        <w:rPr>
          <w:rFonts w:ascii="Arial" w:eastAsiaTheme="minorEastAsia" w:hAnsi="Arial" w:cs="Arial"/>
        </w:rPr>
        <w:t xml:space="preserve"> </w:t>
      </w:r>
      <m:oMath>
        <m:r>
          <w:rPr>
            <w:rFonts w:ascii="Cambria Math" w:hAnsi="Cambria Math" w:cs="Arial"/>
          </w:rPr>
          <m:t>i</m:t>
        </m:r>
      </m:oMath>
      <w:r w:rsidR="00E04107" w:rsidRPr="00A73959">
        <w:rPr>
          <w:rFonts w:ascii="Arial" w:eastAsiaTheme="minorEastAsia" w:hAnsi="Arial" w:cs="Arial"/>
        </w:rPr>
        <w:t xml:space="preserve"> </w:t>
      </w:r>
      <w:r w:rsidR="00A73959" w:rsidRPr="00A73959">
        <w:rPr>
          <w:rFonts w:ascii="Arial" w:eastAsiaTheme="minorEastAsia" w:hAnsi="Arial" w:cs="Arial"/>
        </w:rPr>
        <w:t xml:space="preserve">refers </w:t>
      </w:r>
      <w:r w:rsidR="00A73959">
        <w:rPr>
          <w:rFonts w:ascii="Arial" w:eastAsiaTheme="minorEastAsia" w:hAnsi="Arial" w:cs="Arial"/>
        </w:rPr>
        <w:t xml:space="preserve">to </w:t>
      </w:r>
      <w:proofErr w:type="gramStart"/>
      <w:r w:rsidR="00A73959">
        <w:rPr>
          <w:rFonts w:ascii="Arial" w:eastAsiaTheme="minorEastAsia" w:hAnsi="Arial" w:cs="Arial"/>
        </w:rPr>
        <w:t>age</w:t>
      </w:r>
      <w:r w:rsidR="00E04107">
        <w:rPr>
          <w:rFonts w:ascii="Arial" w:eastAsiaTheme="minorEastAsia" w:hAnsi="Arial" w:cs="Arial"/>
        </w:rPr>
        <w:t>;</w:t>
      </w:r>
      <w:proofErr w:type="gramEnd"/>
    </w:p>
    <w:p w14:paraId="4AFE058A" w14:textId="2D1FCA3E" w:rsidR="00E04107" w:rsidRDefault="00E04107" w:rsidP="00D5790D">
      <w:pPr>
        <w:pStyle w:val="ListParagraph"/>
        <w:numPr>
          <w:ilvl w:val="0"/>
          <w:numId w:val="23"/>
        </w:numPr>
        <w:rPr>
          <w:rFonts w:ascii="Arial" w:eastAsiaTheme="minorEastAsia" w:hAnsi="Arial" w:cs="Arial"/>
        </w:rPr>
      </w:pPr>
      <w:r>
        <w:rPr>
          <w:rFonts w:ascii="Arial" w:eastAsiaTheme="minorEastAsia" w:hAnsi="Arial" w:cs="Arial"/>
        </w:rPr>
        <w:t xml:space="preserve">The subscript </w:t>
      </w:r>
      <m:oMath>
        <m:r>
          <w:rPr>
            <w:rFonts w:ascii="Cambria Math" w:hAnsi="Cambria Math" w:cs="Arial"/>
          </w:rPr>
          <m:t>j</m:t>
        </m:r>
      </m:oMath>
      <w:r>
        <w:rPr>
          <w:rFonts w:ascii="Arial" w:eastAsiaTheme="minorEastAsia" w:hAnsi="Arial" w:cs="Arial"/>
        </w:rPr>
        <w:t xml:space="preserve"> refers to the HQA </w:t>
      </w:r>
      <w:proofErr w:type="gramStart"/>
      <w:r>
        <w:rPr>
          <w:rFonts w:ascii="Arial" w:eastAsiaTheme="minorEastAsia" w:hAnsi="Arial" w:cs="Arial"/>
        </w:rPr>
        <w:t>level;</w:t>
      </w:r>
      <w:proofErr w:type="gramEnd"/>
    </w:p>
    <w:p w14:paraId="152AA320" w14:textId="31AD79FB" w:rsidR="00C61A29" w:rsidRDefault="00020306" w:rsidP="00C61A29">
      <w:pPr>
        <w:pStyle w:val="ListParagraph"/>
        <w:numPr>
          <w:ilvl w:val="0"/>
          <w:numId w:val="23"/>
        </w:numPr>
        <w:rPr>
          <w:rFonts w:ascii="Arial" w:eastAsiaTheme="minorEastAsia"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d>
          <m:dPr>
            <m:ctrlPr>
              <w:rPr>
                <w:rFonts w:ascii="Cambria Math" w:hAnsi="Cambria Math" w:cs="Arial"/>
                <w:i/>
              </w:rPr>
            </m:ctrlPr>
          </m:dPr>
          <m:e>
            <m:r>
              <w:rPr>
                <w:rFonts w:ascii="Cambria Math" w:hAnsi="Cambria Math" w:cs="Arial"/>
              </w:rPr>
              <m:t>t</m:t>
            </m:r>
          </m:e>
        </m:d>
      </m:oMath>
      <w:r w:rsidR="00E04107">
        <w:rPr>
          <w:rFonts w:ascii="Arial" w:eastAsiaTheme="minorEastAsia" w:hAnsi="Arial" w:cs="Arial"/>
        </w:rPr>
        <w:t xml:space="preserve"> refers to the number of people of age </w:t>
      </w:r>
      <m:oMath>
        <m:r>
          <w:rPr>
            <w:rFonts w:ascii="Cambria Math" w:hAnsi="Cambria Math" w:cs="Arial"/>
          </w:rPr>
          <m:t>i</m:t>
        </m:r>
      </m:oMath>
      <w:r w:rsidR="00E04107">
        <w:rPr>
          <w:rFonts w:ascii="Arial" w:eastAsiaTheme="minorEastAsia" w:hAnsi="Arial" w:cs="Arial"/>
        </w:rPr>
        <w:t xml:space="preserve"> at time t; </w:t>
      </w:r>
      <m:oMath>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d>
          <m:dPr>
            <m:ctrlPr>
              <w:rPr>
                <w:rFonts w:ascii="Cambria Math" w:hAnsi="Cambria Math" w:cs="Arial"/>
                <w:i/>
              </w:rPr>
            </m:ctrlPr>
          </m:dPr>
          <m:e>
            <m:r>
              <w:rPr>
                <w:rFonts w:ascii="Cambria Math" w:hAnsi="Cambria Math" w:cs="Arial"/>
              </w:rPr>
              <m:t>t</m:t>
            </m:r>
          </m:e>
        </m:d>
      </m:oMath>
      <w:r w:rsidR="00E04107">
        <w:rPr>
          <w:rFonts w:ascii="Arial" w:eastAsiaTheme="minorEastAsia" w:hAnsi="Arial" w:cs="Arial"/>
        </w:rPr>
        <w:t xml:space="preserve"> refers to the number of people </w:t>
      </w:r>
      <w:r w:rsidR="00C61A29">
        <w:rPr>
          <w:rFonts w:ascii="Arial" w:eastAsiaTheme="minorEastAsia" w:hAnsi="Arial" w:cs="Arial"/>
        </w:rPr>
        <w:t xml:space="preserve">at HQA level </w:t>
      </w:r>
      <m:oMath>
        <m:r>
          <w:rPr>
            <w:rFonts w:ascii="Cambria Math" w:hAnsi="Cambria Math" w:cs="Arial"/>
          </w:rPr>
          <m:t>j</m:t>
        </m:r>
      </m:oMath>
      <w:r w:rsidR="00C61A29">
        <w:rPr>
          <w:rFonts w:ascii="Arial" w:eastAsiaTheme="minorEastAsia" w:hAnsi="Arial" w:cs="Arial"/>
        </w:rPr>
        <w:t xml:space="preserve"> at time t; </w:t>
      </w:r>
      <m:oMath>
        <m:sSub>
          <m:sSubPr>
            <m:ctrlPr>
              <w:rPr>
                <w:rFonts w:ascii="Cambria Math" w:hAnsi="Cambria Math" w:cs="Arial"/>
                <w:i/>
              </w:rPr>
            </m:ctrlPr>
          </m:sSubPr>
          <m:e>
            <m:r>
              <w:rPr>
                <w:rFonts w:ascii="Cambria Math" w:hAnsi="Cambria Math" w:cs="Arial"/>
              </w:rPr>
              <m:t>N</m:t>
            </m:r>
          </m:e>
          <m:sub>
            <m:r>
              <w:rPr>
                <w:rFonts w:ascii="Cambria Math" w:hAnsi="Cambria Math" w:cs="Arial"/>
              </w:rPr>
              <m:t>ij</m:t>
            </m:r>
          </m:sub>
        </m:sSub>
        <m:d>
          <m:dPr>
            <m:ctrlPr>
              <w:rPr>
                <w:rFonts w:ascii="Cambria Math" w:hAnsi="Cambria Math" w:cs="Arial"/>
                <w:i/>
              </w:rPr>
            </m:ctrlPr>
          </m:dPr>
          <m:e>
            <m:r>
              <w:rPr>
                <w:rFonts w:ascii="Cambria Math" w:hAnsi="Cambria Math" w:cs="Arial"/>
              </w:rPr>
              <m:t>t</m:t>
            </m:r>
          </m:e>
        </m:d>
      </m:oMath>
      <w:r w:rsidR="00C61A29">
        <w:rPr>
          <w:rFonts w:ascii="Arial" w:eastAsiaTheme="minorEastAsia" w:hAnsi="Arial" w:cs="Arial"/>
        </w:rPr>
        <w:t xml:space="preserve"> refers to the number of people at age </w:t>
      </w:r>
      <m:oMath>
        <m:r>
          <w:rPr>
            <w:rFonts w:ascii="Cambria Math" w:hAnsi="Cambria Math" w:cs="Arial"/>
          </w:rPr>
          <m:t>i</m:t>
        </m:r>
      </m:oMath>
      <w:r w:rsidR="00C61A29">
        <w:rPr>
          <w:rFonts w:ascii="Arial" w:eastAsiaTheme="minorEastAsia" w:hAnsi="Arial" w:cs="Arial"/>
        </w:rPr>
        <w:t xml:space="preserve"> and HQA level </w:t>
      </w:r>
      <m:oMath>
        <m:r>
          <w:rPr>
            <w:rFonts w:ascii="Cambria Math" w:hAnsi="Cambria Math" w:cs="Arial"/>
          </w:rPr>
          <m:t>j</m:t>
        </m:r>
      </m:oMath>
      <w:r w:rsidR="00C61A29">
        <w:rPr>
          <w:rFonts w:ascii="Arial" w:eastAsiaTheme="minorEastAsia" w:hAnsi="Arial" w:cs="Arial"/>
        </w:rPr>
        <w:t xml:space="preserve"> at time </w:t>
      </w:r>
      <w:proofErr w:type="gramStart"/>
      <w:r w:rsidR="00C61A29">
        <w:rPr>
          <w:rFonts w:ascii="Arial" w:eastAsiaTheme="minorEastAsia" w:hAnsi="Arial" w:cs="Arial"/>
        </w:rPr>
        <w:t>t;</w:t>
      </w:r>
      <w:proofErr w:type="gramEnd"/>
    </w:p>
    <w:p w14:paraId="672D6BA5" w14:textId="344F726A" w:rsidR="00C61A29" w:rsidRPr="00C61A29" w:rsidRDefault="00020306" w:rsidP="00C61A29">
      <w:pPr>
        <w:pStyle w:val="ListParagraph"/>
        <w:numPr>
          <w:ilvl w:val="0"/>
          <w:numId w:val="23"/>
        </w:numPr>
        <w:rPr>
          <w:rFonts w:ascii="Arial" w:eastAsiaTheme="minorEastAsia" w:hAnsi="Arial" w:cs="Arial"/>
        </w:rPr>
      </w:pPr>
      <m:oMath>
        <m:sSub>
          <m:sSubPr>
            <m:ctrlPr>
              <w:rPr>
                <w:rFonts w:ascii="Cambria Math" w:hAnsi="Cambria Math" w:cs="Arial"/>
                <w:i/>
              </w:rPr>
            </m:ctrlPr>
          </m:sSubPr>
          <m:e>
            <m:r>
              <w:rPr>
                <w:rFonts w:ascii="Cambria Math" w:hAnsi="Cambria Math" w:cs="Arial"/>
              </w:rPr>
              <m:t>esr</m:t>
            </m:r>
          </m:e>
          <m:sub>
            <m:r>
              <w:rPr>
                <w:rFonts w:ascii="Cambria Math" w:hAnsi="Cambria Math" w:cs="Arial"/>
              </w:rPr>
              <m:t>j</m:t>
            </m:r>
          </m:sub>
        </m:sSub>
        <m:d>
          <m:dPr>
            <m:ctrlPr>
              <w:rPr>
                <w:rFonts w:ascii="Cambria Math" w:hAnsi="Cambria Math" w:cs="Arial"/>
                <w:i/>
              </w:rPr>
            </m:ctrlPr>
          </m:dPr>
          <m:e>
            <m:r>
              <w:rPr>
                <w:rFonts w:ascii="Cambria Math" w:hAnsi="Cambria Math" w:cs="Arial"/>
              </w:rPr>
              <m:t>t</m:t>
            </m:r>
          </m:e>
        </m:d>
      </m:oMath>
      <w:r w:rsidR="00C61A29">
        <w:rPr>
          <w:rFonts w:ascii="Arial" w:eastAsiaTheme="minorEastAsia" w:hAnsi="Arial" w:cs="Arial"/>
        </w:rPr>
        <w:t xml:space="preserve"> refers to the ESR</w:t>
      </w:r>
      <w:r w:rsidR="00084BC9">
        <w:rPr>
          <w:rFonts w:ascii="Arial" w:eastAsiaTheme="minorEastAsia" w:hAnsi="Arial" w:cs="Arial"/>
        </w:rPr>
        <w:t xml:space="preserve"> at </w:t>
      </w:r>
      <w:r w:rsidR="008E05A2">
        <w:rPr>
          <w:rFonts w:ascii="Arial" w:eastAsiaTheme="minorEastAsia" w:hAnsi="Arial" w:cs="Arial"/>
        </w:rPr>
        <w:t xml:space="preserve">HQA level </w:t>
      </w:r>
      <m:oMath>
        <m:r>
          <w:rPr>
            <w:rFonts w:ascii="Cambria Math" w:hAnsi="Cambria Math" w:cs="Arial"/>
          </w:rPr>
          <m:t>j</m:t>
        </m:r>
      </m:oMath>
      <w:r w:rsidR="008E05A2">
        <w:rPr>
          <w:rFonts w:ascii="Arial" w:eastAsiaTheme="minorEastAsia" w:hAnsi="Arial" w:cs="Arial"/>
        </w:rPr>
        <w:t xml:space="preserve"> at time t</w:t>
      </w:r>
      <w:r w:rsidR="00257F18">
        <w:rPr>
          <w:rFonts w:ascii="Arial" w:eastAsiaTheme="minorEastAsia" w:hAnsi="Arial" w:cs="Arial"/>
        </w:rPr>
        <w:t>, derived from the income and consumption profiles.</w:t>
      </w:r>
    </w:p>
    <w:p w14:paraId="49FD4BC6" w14:textId="77777777" w:rsidR="00D5790D" w:rsidRPr="00A73959" w:rsidRDefault="00D5790D" w:rsidP="00772154">
      <w:pPr>
        <w:rPr>
          <w:rFonts w:eastAsiaTheme="minorEastAsia" w:cs="Arial"/>
        </w:rPr>
      </w:pPr>
    </w:p>
    <w:p w14:paraId="468569E1" w14:textId="7655F786" w:rsidR="00772154" w:rsidRPr="00A73959" w:rsidRDefault="00020306" w:rsidP="007E5A9D">
      <w:pPr>
        <w:jc w:val="center"/>
        <w:rPr>
          <w:rFonts w:cs="Arial"/>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sSup>
          <m:sSupPr>
            <m:ctrlPr>
              <w:rPr>
                <w:rFonts w:ascii="Cambria Math" w:hAnsi="Cambria Math" w:cs="Arial"/>
                <w:i/>
              </w:rPr>
            </m:ctrlPr>
          </m:sSupPr>
          <m:e>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ij</m:t>
                        </m:r>
                      </m:sub>
                    </m:sSub>
                    <m:d>
                      <m:dPr>
                        <m:ctrlPr>
                          <w:rPr>
                            <w:rFonts w:ascii="Cambria Math" w:hAnsi="Cambria Math" w:cs="Arial"/>
                            <w:i/>
                          </w:rPr>
                        </m:ctrlPr>
                      </m:dPr>
                      <m:e>
                        <m:r>
                          <w:rPr>
                            <w:rFonts w:ascii="Cambria Math" w:hAnsi="Cambria Math" w:cs="Arial"/>
                          </w:rPr>
                          <m:t>t</m:t>
                        </m:r>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d>
                      <m:dPr>
                        <m:ctrlPr>
                          <w:rPr>
                            <w:rFonts w:ascii="Cambria Math" w:hAnsi="Cambria Math" w:cs="Arial"/>
                            <w:i/>
                          </w:rPr>
                        </m:ctrlPr>
                      </m:dPr>
                      <m:e>
                        <m:r>
                          <w:rPr>
                            <w:rFonts w:ascii="Cambria Math" w:hAnsi="Cambria Math" w:cs="Arial"/>
                          </w:rPr>
                          <m:t>t</m:t>
                        </m:r>
                      </m:e>
                    </m:d>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N</m:t>
                        </m:r>
                      </m:e>
                      <m:sub>
                        <m:r>
                          <w:rPr>
                            <w:rFonts w:ascii="Cambria Math" w:hAnsi="Cambria Math" w:cs="Arial"/>
                          </w:rPr>
                          <m:t>i</m:t>
                        </m:r>
                      </m:sub>
                    </m:sSub>
                    <m:d>
                      <m:dPr>
                        <m:ctrlPr>
                          <w:rPr>
                            <w:rFonts w:ascii="Cambria Math" w:hAnsi="Cambria Math" w:cs="Arial"/>
                            <w:i/>
                          </w:rPr>
                        </m:ctrlPr>
                      </m:dPr>
                      <m:e>
                        <m:r>
                          <w:rPr>
                            <w:rFonts w:ascii="Cambria Math" w:hAnsi="Cambria Math" w:cs="Arial"/>
                          </w:rPr>
                          <m:t>t</m:t>
                        </m:r>
                      </m:e>
                    </m:d>
                  </m:num>
                  <m:den>
                    <m:r>
                      <w:rPr>
                        <w:rFonts w:ascii="Cambria Math" w:hAnsi="Cambria Math" w:cs="Arial"/>
                      </w:rPr>
                      <m:t>N</m:t>
                    </m:r>
                    <m:d>
                      <m:dPr>
                        <m:ctrlPr>
                          <w:rPr>
                            <w:rFonts w:ascii="Cambria Math" w:hAnsi="Cambria Math" w:cs="Arial"/>
                            <w:i/>
                          </w:rPr>
                        </m:ctrlPr>
                      </m:dPr>
                      <m:e>
                        <m:r>
                          <w:rPr>
                            <w:rFonts w:ascii="Cambria Math" w:hAnsi="Cambria Math" w:cs="Arial"/>
                          </w:rPr>
                          <m:t>t</m:t>
                        </m:r>
                      </m:e>
                    </m:d>
                  </m:den>
                </m:f>
              </m:e>
            </m:d>
          </m:e>
          <m:sup>
            <m:r>
              <w:rPr>
                <w:rFonts w:ascii="Cambria Math" w:hAnsi="Cambria Math" w:cs="Arial"/>
              </w:rPr>
              <m:t>0⋅5</m:t>
            </m:r>
          </m:sup>
        </m:sSup>
      </m:oMath>
      <w:r w:rsidR="007E5A9D">
        <w:rPr>
          <w:rFonts w:eastAsiaTheme="minorEastAsia" w:cs="Arial"/>
        </w:rPr>
        <w:t xml:space="preserve"> … (1)</w:t>
      </w:r>
    </w:p>
    <w:p w14:paraId="073BC3C5" w14:textId="5FF287F0" w:rsidR="00772154" w:rsidRPr="00A73959" w:rsidRDefault="00020306" w:rsidP="007E5A9D">
      <w:pPr>
        <w:jc w:val="center"/>
        <w:rPr>
          <w:rFonts w:eastAsiaTheme="minorEastAsia" w:cs="Arial"/>
        </w:rPr>
      </w:pPr>
      <m:oMath>
        <m:sSub>
          <m:sSubPr>
            <m:ctrlPr>
              <w:rPr>
                <w:rFonts w:ascii="Cambria Math" w:eastAsiaTheme="minorEastAsia" w:hAnsi="Cambria Math" w:cs="Arial"/>
                <w:i/>
              </w:rPr>
            </m:ctrlPr>
          </m:sSubPr>
          <m:e>
            <m:r>
              <w:rPr>
                <w:rFonts w:ascii="Cambria Math" w:eastAsiaTheme="minorEastAsia" w:hAnsi="Cambria Math" w:cs="Arial"/>
              </w:rPr>
              <m:t>e</m:t>
            </m:r>
          </m:e>
          <m:sub>
            <m:r>
              <w:rPr>
                <w:rFonts w:ascii="Cambria Math" w:eastAsiaTheme="minorEastAsia" w:hAnsi="Cambria Math" w:cs="Arial"/>
              </w:rPr>
              <m:t>ij</m:t>
            </m:r>
          </m:sub>
        </m:sSub>
        <m:r>
          <w:rPr>
            <w:rFonts w:ascii="Cambria Math" w:eastAsiaTheme="minorEastAsia" w:hAnsi="Cambria Math" w:cs="Arial"/>
          </w:rPr>
          <m:t>=</m:t>
        </m:r>
        <m:sSup>
          <m:sSupPr>
            <m:ctrlPr>
              <w:rPr>
                <w:rFonts w:ascii="Cambria Math" w:eastAsiaTheme="minorEastAsia" w:hAnsi="Cambria Math" w:cs="Arial"/>
                <w:i/>
              </w:rPr>
            </m:ctrlPr>
          </m:sSupPr>
          <m:e>
            <m:d>
              <m:dPr>
                <m:ctrlPr>
                  <w:rPr>
                    <w:rFonts w:ascii="Cambria Math" w:eastAsiaTheme="minorEastAsia" w:hAnsi="Cambria Math" w:cs="Arial"/>
                    <w:i/>
                  </w:rPr>
                </m:ctrlPr>
              </m:dPr>
              <m:e>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ij</m:t>
                        </m:r>
                      </m:sub>
                    </m:sSub>
                    <m:d>
                      <m:dPr>
                        <m:ctrlPr>
                          <w:rPr>
                            <w:rFonts w:ascii="Cambria Math" w:eastAsiaTheme="minorEastAsia" w:hAnsi="Cambria Math" w:cs="Arial"/>
                            <w:i/>
                          </w:rPr>
                        </m:ctrlPr>
                      </m:dPr>
                      <m:e>
                        <m:r>
                          <w:rPr>
                            <w:rFonts w:ascii="Cambria Math" w:eastAsiaTheme="minorEastAsia" w:hAnsi="Cambria Math" w:cs="Arial"/>
                          </w:rPr>
                          <m:t>t</m:t>
                        </m:r>
                      </m:e>
                    </m:d>
                  </m:num>
                  <m:den>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t</m:t>
                        </m:r>
                      </m:e>
                    </m:d>
                  </m:den>
                </m:f>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j</m:t>
                        </m:r>
                      </m:sub>
                    </m:sSub>
                    <m:d>
                      <m:dPr>
                        <m:ctrlPr>
                          <w:rPr>
                            <w:rFonts w:ascii="Cambria Math" w:eastAsiaTheme="minorEastAsia" w:hAnsi="Cambria Math" w:cs="Arial"/>
                            <w:i/>
                          </w:rPr>
                        </m:ctrlPr>
                      </m:dPr>
                      <m:e>
                        <m:r>
                          <w:rPr>
                            <w:rFonts w:ascii="Cambria Math" w:eastAsiaTheme="minorEastAsia" w:hAnsi="Cambria Math" w:cs="Arial"/>
                          </w:rPr>
                          <m:t>t</m:t>
                        </m:r>
                      </m:e>
                    </m:d>
                  </m:num>
                  <m:den>
                    <m:r>
                      <w:rPr>
                        <w:rFonts w:ascii="Cambria Math" w:eastAsiaTheme="minorEastAsia" w:hAnsi="Cambria Math" w:cs="Arial"/>
                      </w:rPr>
                      <m:t>N</m:t>
                    </m:r>
                    <m:d>
                      <m:dPr>
                        <m:ctrlPr>
                          <w:rPr>
                            <w:rFonts w:ascii="Cambria Math" w:eastAsiaTheme="minorEastAsia" w:hAnsi="Cambria Math" w:cs="Arial"/>
                            <w:i/>
                          </w:rPr>
                        </m:ctrlPr>
                      </m:dPr>
                      <m:e>
                        <m:r>
                          <w:rPr>
                            <w:rFonts w:ascii="Cambria Math" w:eastAsiaTheme="minorEastAsia" w:hAnsi="Cambria Math" w:cs="Arial"/>
                          </w:rPr>
                          <m:t>t</m:t>
                        </m:r>
                      </m:e>
                    </m:d>
                  </m:den>
                </m:f>
              </m:e>
            </m:d>
          </m:e>
          <m:sup>
            <m:r>
              <w:rPr>
                <w:rFonts w:ascii="Cambria Math" w:eastAsiaTheme="minorEastAsia" w:hAnsi="Cambria Math" w:cs="Arial"/>
              </w:rPr>
              <m:t>0.5</m:t>
            </m:r>
          </m:sup>
        </m:sSup>
      </m:oMath>
      <w:r w:rsidR="007E5A9D">
        <w:rPr>
          <w:rFonts w:eastAsiaTheme="minorEastAsia" w:cs="Arial"/>
        </w:rPr>
        <w:t xml:space="preserve"> … (2)</w:t>
      </w:r>
    </w:p>
    <w:p w14:paraId="516E902D" w14:textId="77777777" w:rsidR="00772154" w:rsidRPr="00A73959" w:rsidRDefault="00772154" w:rsidP="00772154">
      <w:pPr>
        <w:rPr>
          <w:rFonts w:cs="Arial"/>
        </w:rPr>
      </w:pPr>
    </w:p>
    <w:p w14:paraId="199DFA79" w14:textId="0B613CCA" w:rsidR="00772154" w:rsidRPr="00A73959" w:rsidRDefault="00772154" w:rsidP="007E5A9D">
      <w:pPr>
        <w:jc w:val="center"/>
        <w:rPr>
          <w:rFonts w:eastAsiaTheme="minorEastAsia" w:cs="Arial"/>
        </w:rPr>
      </w:pPr>
      <w:bookmarkStart w:id="0" w:name="_Hlk96460112"/>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m:t>
            </m:r>
          </m:e>
          <m:sub>
            <m:r>
              <w:rPr>
                <w:rFonts w:ascii="Cambria Math" w:hAnsi="Cambria Math" w:cs="Arial"/>
              </w:rPr>
              <m:t>j</m:t>
            </m:r>
          </m:sub>
        </m:sSub>
        <m:f>
          <m:fPr>
            <m:ctrlPr>
              <w:rPr>
                <w:rFonts w:ascii="Cambria Math" w:hAnsi="Cambria Math" w:cs="Arial"/>
                <w:i/>
              </w:rPr>
            </m:ctrlPr>
          </m:fPr>
          <m:num>
            <m:r>
              <w:rPr>
                <w:rFonts w:ascii="Cambria Math" w:hAnsi="Cambria Math" w:cs="Arial"/>
              </w:rPr>
              <m:t>ⅇs</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d>
              <m:dPr>
                <m:ctrlPr>
                  <w:rPr>
                    <w:rFonts w:ascii="Cambria Math" w:hAnsi="Cambria Math" w:cs="Arial"/>
                    <w:i/>
                  </w:rPr>
                </m:ctrlPr>
              </m:dPr>
              <m:e>
                <m:r>
                  <w:rPr>
                    <w:rFonts w:ascii="Cambria Math" w:hAnsi="Cambria Math" w:cs="Arial"/>
                  </w:rPr>
                  <m:t>t</m:t>
                </m:r>
              </m:e>
            </m:d>
            <m:r>
              <w:rPr>
                <w:rFonts w:ascii="Cambria Math" w:hAnsi="Cambria Math" w:cs="Arial"/>
              </w:rPr>
              <m:t>+ⅇs</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d>
              <m:dPr>
                <m:ctrlPr>
                  <w:rPr>
                    <w:rFonts w:ascii="Cambria Math" w:hAnsi="Cambria Math" w:cs="Arial"/>
                    <w:i/>
                  </w:rPr>
                </m:ctrlPr>
              </m:dPr>
              <m:e>
                <m:r>
                  <w:rPr>
                    <w:rFonts w:ascii="Cambria Math" w:hAnsi="Cambria Math" w:cs="Arial"/>
                  </w:rPr>
                  <m:t>t-1</m:t>
                </m:r>
              </m:e>
            </m:d>
          </m:num>
          <m:den>
            <m:r>
              <w:rPr>
                <w:rFonts w:ascii="Cambria Math" w:hAnsi="Cambria Math" w:cs="Arial"/>
              </w:rPr>
              <m:t>2</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ij</m:t>
                </m:r>
              </m:sub>
            </m:sSub>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ij</m:t>
                </m:r>
              </m:sub>
            </m:sSub>
            <m:d>
              <m:dPr>
                <m:ctrlPr>
                  <w:rPr>
                    <w:rFonts w:ascii="Cambria Math" w:hAnsi="Cambria Math" w:cs="Arial"/>
                    <w:i/>
                  </w:rPr>
                </m:ctrlPr>
              </m:dPr>
              <m:e>
                <m:r>
                  <w:rPr>
                    <w:rFonts w:ascii="Cambria Math" w:hAnsi="Cambria Math" w:cs="Arial"/>
                  </w:rPr>
                  <m:t>t-1</m:t>
                </m:r>
              </m:e>
            </m:d>
          </m:num>
          <m:den>
            <m:r>
              <w:rPr>
                <w:rFonts w:ascii="Cambria Math" w:hAnsi="Cambria Math" w:cs="Arial"/>
              </w:rPr>
              <m:t>2</m:t>
            </m:r>
          </m:den>
        </m:f>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r>
          <w:rPr>
            <w:rFonts w:ascii="Cambria Math" w:hAnsi="Cambria Math" w:cs="Arial"/>
          </w:rPr>
          <m:t>(t)</m:t>
        </m:r>
      </m:oMath>
      <w:r w:rsidR="007E5A9D">
        <w:rPr>
          <w:rFonts w:eastAsiaTheme="minorEastAsia" w:cs="Arial"/>
        </w:rPr>
        <w:t xml:space="preserve"> … (3)</w:t>
      </w:r>
    </w:p>
    <w:p w14:paraId="5C9EAB8D" w14:textId="77777777" w:rsidR="00772154" w:rsidRPr="00A73959" w:rsidRDefault="00772154" w:rsidP="007E5A9D">
      <w:pPr>
        <w:jc w:val="center"/>
        <w:rPr>
          <w:rFonts w:cs="Arial"/>
        </w:rPr>
      </w:pPr>
    </w:p>
    <w:p w14:paraId="4E2837E2" w14:textId="03BE1960" w:rsidR="00772154" w:rsidRPr="00A73959" w:rsidRDefault="00772154" w:rsidP="007E5A9D">
      <w:pPr>
        <w:jc w:val="center"/>
        <w:rPr>
          <w:rFonts w:cs="Arial"/>
        </w:rPr>
      </w:pPr>
      <m:oMath>
        <m:r>
          <w:rPr>
            <w:rFonts w:ascii="Cambria Math" w:hAnsi="Cambria Math" w:cs="Arial"/>
          </w:rPr>
          <m:t>E</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m:t>
            </m:r>
          </m:e>
          <m:sub>
            <m:r>
              <w:rPr>
                <w:rFonts w:ascii="Cambria Math" w:hAnsi="Cambria Math" w:cs="Arial"/>
              </w:rPr>
              <m:t>j</m:t>
            </m:r>
          </m:sub>
        </m:sSub>
        <m:f>
          <m:fPr>
            <m:ctrlPr>
              <w:rPr>
                <w:rFonts w:ascii="Cambria Math" w:hAnsi="Cambria Math" w:cs="Arial"/>
                <w:i/>
              </w:rPr>
            </m:ctrlPr>
          </m:fPr>
          <m:num>
            <m:r>
              <w:rPr>
                <w:rFonts w:ascii="Cambria Math" w:hAnsi="Cambria Math" w:cs="Arial"/>
              </w:rPr>
              <m:t>ⅇs</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d>
              <m:dPr>
                <m:ctrlPr>
                  <w:rPr>
                    <w:rFonts w:ascii="Cambria Math" w:hAnsi="Cambria Math" w:cs="Arial"/>
                    <w:i/>
                  </w:rPr>
                </m:ctrlPr>
              </m:dPr>
              <m:e>
                <m:r>
                  <w:rPr>
                    <w:rFonts w:ascii="Cambria Math" w:hAnsi="Cambria Math" w:cs="Arial"/>
                  </w:rPr>
                  <m:t>t</m:t>
                </m:r>
              </m:e>
            </m:d>
            <m:r>
              <w:rPr>
                <w:rFonts w:ascii="Cambria Math" w:hAnsi="Cambria Math" w:cs="Arial"/>
              </w:rPr>
              <m:t>+ⅇs</m:t>
            </m:r>
            <m:sSub>
              <m:sSubPr>
                <m:ctrlPr>
                  <w:rPr>
                    <w:rFonts w:ascii="Cambria Math" w:hAnsi="Cambria Math" w:cs="Arial"/>
                    <w:i/>
                  </w:rPr>
                </m:ctrlPr>
              </m:sSubPr>
              <m:e>
                <m:r>
                  <w:rPr>
                    <w:rFonts w:ascii="Cambria Math" w:hAnsi="Cambria Math" w:cs="Arial"/>
                  </w:rPr>
                  <m:t>r</m:t>
                </m:r>
              </m:e>
              <m:sub>
                <m:r>
                  <w:rPr>
                    <w:rFonts w:ascii="Cambria Math" w:hAnsi="Cambria Math" w:cs="Arial"/>
                  </w:rPr>
                  <m:t>j</m:t>
                </m:r>
              </m:sub>
            </m:sSub>
            <m:d>
              <m:dPr>
                <m:ctrlPr>
                  <w:rPr>
                    <w:rFonts w:ascii="Cambria Math" w:hAnsi="Cambria Math" w:cs="Arial"/>
                    <w:i/>
                  </w:rPr>
                </m:ctrlPr>
              </m:dPr>
              <m:e>
                <m:r>
                  <w:rPr>
                    <w:rFonts w:ascii="Cambria Math" w:hAnsi="Cambria Math" w:cs="Arial"/>
                  </w:rPr>
                  <m:t>t-1</m:t>
                </m:r>
              </m:e>
            </m:d>
          </m:num>
          <m:den>
            <m:r>
              <w:rPr>
                <w:rFonts w:ascii="Cambria Math" w:hAnsi="Cambria Math" w:cs="Arial"/>
              </w:rPr>
              <m:t>2</m:t>
            </m:r>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a</m:t>
                </m:r>
              </m:e>
              <m:sub>
                <m:r>
                  <w:rPr>
                    <w:rFonts w:ascii="Cambria Math" w:hAnsi="Cambria Math" w:cs="Arial"/>
                  </w:rPr>
                  <m:t>ij</m:t>
                </m:r>
              </m:sub>
            </m:sSub>
            <m:d>
              <m:dPr>
                <m:ctrlPr>
                  <w:rPr>
                    <w:rFonts w:ascii="Cambria Math" w:hAnsi="Cambria Math" w:cs="Arial"/>
                    <w:i/>
                  </w:rPr>
                </m:ctrlPr>
              </m:dPr>
              <m:e>
                <m:r>
                  <w:rPr>
                    <w:rFonts w:ascii="Cambria Math" w:hAnsi="Cambria Math" w:cs="Arial"/>
                  </w:rPr>
                  <m:t>t-1</m:t>
                </m:r>
              </m:e>
            </m:d>
          </m:num>
          <m:den>
            <m:r>
              <w:rPr>
                <w:rFonts w:ascii="Cambria Math" w:hAnsi="Cambria Math" w:cs="Arial"/>
              </w:rPr>
              <m:t>2</m:t>
            </m:r>
          </m:den>
        </m:f>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ij</m:t>
            </m:r>
          </m:sub>
        </m:sSub>
        <m:r>
          <w:rPr>
            <w:rFonts w:ascii="Cambria Math" w:hAnsi="Cambria Math" w:cs="Arial"/>
          </w:rPr>
          <m:t>(t)</m:t>
        </m:r>
      </m:oMath>
      <w:r w:rsidR="007E5A9D">
        <w:rPr>
          <w:rFonts w:eastAsiaTheme="minorEastAsia" w:cs="Arial"/>
        </w:rPr>
        <w:t xml:space="preserve"> … (4)</w:t>
      </w:r>
    </w:p>
    <w:bookmarkEnd w:id="0"/>
    <w:p w14:paraId="77F4B602" w14:textId="77777777" w:rsidR="00772154" w:rsidRPr="00A73959" w:rsidRDefault="00772154" w:rsidP="00772154">
      <w:pPr>
        <w:jc w:val="both"/>
        <w:rPr>
          <w:rFonts w:cs="Arial"/>
        </w:rPr>
      </w:pPr>
    </w:p>
    <w:p w14:paraId="398444F3" w14:textId="77777777" w:rsidR="00257F18" w:rsidRDefault="00257F18" w:rsidP="00257F18">
      <w:pPr>
        <w:jc w:val="both"/>
        <w:rPr>
          <w:rFonts w:cs="Arial"/>
        </w:rPr>
      </w:pPr>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 xml:space="preserve"> </m:t>
        </m:r>
      </m:oMath>
      <w:r>
        <w:rPr>
          <w:rFonts w:cs="Arial"/>
        </w:rPr>
        <w:t xml:space="preserve">captures the rate and age standardisation at time (t); similarly,  </w:t>
      </w:r>
      <m:oMath>
        <m:r>
          <w:rPr>
            <w:rFonts w:ascii="Cambria Math" w:hAnsi="Cambria Math" w:cs="Arial"/>
          </w:rPr>
          <m:t>E</m:t>
        </m:r>
        <m:d>
          <m:dPr>
            <m:ctrlPr>
              <w:rPr>
                <w:rFonts w:ascii="Cambria Math" w:hAnsi="Cambria Math" w:cs="Arial"/>
                <w:i/>
              </w:rPr>
            </m:ctrlPr>
          </m:dPr>
          <m:e>
            <m:r>
              <w:rPr>
                <w:rFonts w:ascii="Cambria Math" w:hAnsi="Cambria Math" w:cs="Arial"/>
              </w:rPr>
              <m:t>t</m:t>
            </m:r>
          </m:e>
        </m:d>
      </m:oMath>
      <w:r>
        <w:rPr>
          <w:rFonts w:eastAsiaTheme="minorEastAsia" w:cs="Arial"/>
        </w:rPr>
        <w:t xml:space="preserve"> captures the rate and educations standardisation at time (t). These figures will enable us to compare the contribution of age and education effects respectively. </w:t>
      </w:r>
    </w:p>
    <w:p w14:paraId="22D8D05C" w14:textId="54E7AEB4" w:rsidR="007E5A9D" w:rsidRDefault="007E5A9D" w:rsidP="00772154">
      <w:pPr>
        <w:jc w:val="both"/>
        <w:rPr>
          <w:rFonts w:cs="Arial"/>
        </w:rPr>
      </w:pPr>
    </w:p>
    <w:p w14:paraId="0D26EEB1" w14:textId="19EDF617" w:rsidR="00772154" w:rsidRPr="00B24EFA" w:rsidRDefault="00467D2A" w:rsidP="00772154">
      <w:pPr>
        <w:pStyle w:val="Heading1"/>
      </w:pPr>
      <w:r>
        <w:t>6</w:t>
      </w:r>
      <w:r w:rsidR="00772154">
        <w:t>. DATA</w:t>
      </w:r>
    </w:p>
    <w:p w14:paraId="4867ECE2" w14:textId="77777777" w:rsidR="00772154" w:rsidRDefault="00772154" w:rsidP="00772154">
      <w:pPr>
        <w:jc w:val="both"/>
        <w:rPr>
          <w:rFonts w:cs="Arial"/>
        </w:rPr>
      </w:pPr>
      <w:r w:rsidRPr="00B24EFA">
        <w:rPr>
          <w:rFonts w:cs="Arial"/>
        </w:rPr>
        <w:t xml:space="preserve">The figures come from the census for the respective decades. The income and consumption at the various age profiles and for the various education levels comes from calculations from IPS. Similarly, figures for total resident and total citizen income and consumption profiles were also calculated by IPS. </w:t>
      </w:r>
      <w:r>
        <w:rPr>
          <w:rFonts w:cs="Arial"/>
        </w:rPr>
        <w:t xml:space="preserve">Income and consumption profiles for ages are done based on 2013 levels. Using the 2013 levels for other </w:t>
      </w:r>
      <w:r>
        <w:rPr>
          <w:rFonts w:cs="Arial"/>
        </w:rPr>
        <w:lastRenderedPageBreak/>
        <w:t>decades, while imperfect, allows for income levels to be controlled for to estimate age and HQA effects.</w:t>
      </w:r>
    </w:p>
    <w:p w14:paraId="40132E21" w14:textId="64AFE27A" w:rsidR="00AF2B8D" w:rsidRPr="00AF2B8D" w:rsidRDefault="00A9501F" w:rsidP="00AF2B8D">
      <w:pPr>
        <w:pBdr>
          <w:top w:val="nil"/>
          <w:left w:val="nil"/>
          <w:bottom w:val="nil"/>
          <w:right w:val="nil"/>
          <w:between w:val="nil"/>
        </w:pBdr>
        <w:spacing w:after="200"/>
        <w:jc w:val="both"/>
        <w:rPr>
          <w:rFonts w:eastAsia="Calibri" w:cs="Arial"/>
          <w:bCs/>
          <w:color w:val="000000"/>
          <w:szCs w:val="24"/>
        </w:rPr>
      </w:pPr>
      <w:r w:rsidRPr="00A9501F">
        <w:rPr>
          <w:rFonts w:eastAsia="Calibri" w:cs="Arial"/>
          <w:bCs/>
          <w:noProof/>
          <w:color w:val="000000"/>
          <w:szCs w:val="24"/>
        </w:rPr>
        <w:drawing>
          <wp:inline distT="0" distB="0" distL="0" distR="0" wp14:anchorId="4A90569C" wp14:editId="70945DDA">
            <wp:extent cx="5274310" cy="3352395"/>
            <wp:effectExtent l="0" t="0" r="8890" b="13335"/>
            <wp:docPr id="22" name="Chart 22">
              <a:extLst xmlns:a="http://schemas.openxmlformats.org/drawingml/2006/main">
                <a:ext uri="{FF2B5EF4-FFF2-40B4-BE49-F238E27FC236}">
                  <a16:creationId xmlns:a16="http://schemas.microsoft.com/office/drawing/2014/main" id="{147BBC5A-53E2-364E-9CA4-DAB6B787D5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9FEA10" w14:textId="77777777" w:rsidR="007972B5" w:rsidRDefault="007972B5" w:rsidP="00A9501F">
      <w:pPr>
        <w:pStyle w:val="Heading1"/>
      </w:pPr>
    </w:p>
    <w:p w14:paraId="3ADD728B" w14:textId="37D334DE" w:rsidR="00AF2B8D" w:rsidRDefault="00467D2A" w:rsidP="00A9501F">
      <w:pPr>
        <w:pStyle w:val="Heading1"/>
      </w:pPr>
      <w:r>
        <w:t>7</w:t>
      </w:r>
      <w:r w:rsidR="00AF2B8D" w:rsidRPr="00AF2B8D">
        <w:t xml:space="preserve">. </w:t>
      </w:r>
      <w:r w:rsidR="00A9501F">
        <w:t>RESULTS</w:t>
      </w:r>
    </w:p>
    <w:p w14:paraId="2F418ED7" w14:textId="77777777" w:rsidR="00A9501F" w:rsidRDefault="00A9501F" w:rsidP="00A9501F">
      <w:pPr>
        <w:jc w:val="both"/>
        <w:rPr>
          <w:rFonts w:cs="Arial"/>
        </w:rPr>
      </w:pPr>
      <w:r>
        <w:rPr>
          <w:rFonts w:cs="Arial"/>
        </w:rPr>
        <w:t>The overall ESR for the decades are as follows:</w:t>
      </w:r>
    </w:p>
    <w:p w14:paraId="01118F39" w14:textId="157C19A1" w:rsidR="00A9501F" w:rsidRDefault="00A9501F" w:rsidP="00745C53">
      <w:pPr>
        <w:rPr>
          <w:rFonts w:cs="Arial"/>
        </w:rPr>
      </w:pPr>
      <w:r>
        <w:rPr>
          <w:noProof/>
        </w:rPr>
        <w:drawing>
          <wp:inline distT="0" distB="0" distL="0" distR="0" wp14:anchorId="49BB1504" wp14:editId="5E073A9D">
            <wp:extent cx="4457700" cy="2743200"/>
            <wp:effectExtent l="0" t="0" r="12700" b="12700"/>
            <wp:docPr id="1" name="Chart 1">
              <a:extLst xmlns:a="http://schemas.openxmlformats.org/drawingml/2006/main">
                <a:ext uri="{FF2B5EF4-FFF2-40B4-BE49-F238E27FC236}">
                  <a16:creationId xmlns:a16="http://schemas.microsoft.com/office/drawing/2014/main" id="{9949BC3A-173B-4DC7-93AE-59272065B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EFEB49" w14:textId="13223965" w:rsidR="00745C53" w:rsidRDefault="00745C53" w:rsidP="00745C53">
      <w:pPr>
        <w:rPr>
          <w:rFonts w:cs="Arial"/>
        </w:rPr>
      </w:pPr>
    </w:p>
    <w:p w14:paraId="2300A46C" w14:textId="19859BAC" w:rsidR="00745C53" w:rsidRPr="00745C53" w:rsidRDefault="00745C53" w:rsidP="00745C53">
      <w:pPr>
        <w:rPr>
          <w:rFonts w:cs="Arial"/>
          <w:b/>
          <w:bCs/>
        </w:rPr>
      </w:pPr>
      <w:r>
        <w:rPr>
          <w:rFonts w:cs="Arial"/>
          <w:b/>
          <w:bCs/>
        </w:rPr>
        <w:t>Table 3: Economic Support Ratio by Decade</w:t>
      </w: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tblGrid>
      <w:tr w:rsidR="00A9501F" w:rsidRPr="00DE60BD" w14:paraId="2AD13BEB" w14:textId="77777777" w:rsidTr="00402DF8">
        <w:trPr>
          <w:trHeight w:val="300"/>
        </w:trPr>
        <w:tc>
          <w:tcPr>
            <w:tcW w:w="846" w:type="dxa"/>
            <w:shd w:val="clear" w:color="auto" w:fill="auto"/>
            <w:noWrap/>
            <w:hideMark/>
          </w:tcPr>
          <w:p w14:paraId="19B02B44" w14:textId="4AE6CD1D" w:rsidR="00A9501F" w:rsidRPr="008B5134" w:rsidRDefault="001B0704" w:rsidP="008B5134">
            <w:pPr>
              <w:spacing w:line="240" w:lineRule="auto"/>
              <w:jc w:val="center"/>
              <w:rPr>
                <w:rFonts w:eastAsia="Times New Roman" w:cs="Arial"/>
                <w:color w:val="000000"/>
                <w:lang w:eastAsia="zh-CN"/>
              </w:rPr>
            </w:pPr>
            <w:r w:rsidRPr="008B5134">
              <w:rPr>
                <w:rFonts w:cs="Arial"/>
                <w:bCs/>
                <w:color w:val="000000"/>
              </w:rPr>
              <w:t>Year</w:t>
            </w:r>
          </w:p>
        </w:tc>
        <w:tc>
          <w:tcPr>
            <w:tcW w:w="1701" w:type="dxa"/>
          </w:tcPr>
          <w:p w14:paraId="167893F8" w14:textId="25E58AF4" w:rsidR="00A9501F" w:rsidRPr="008B5134" w:rsidRDefault="00A9501F" w:rsidP="008B5134">
            <w:pPr>
              <w:jc w:val="center"/>
              <w:rPr>
                <w:rFonts w:eastAsia="Times New Roman" w:cs="Arial"/>
                <w:sz w:val="20"/>
                <w:szCs w:val="20"/>
                <w:lang w:eastAsia="zh-CN"/>
              </w:rPr>
            </w:pPr>
            <w:r w:rsidRPr="008B5134">
              <w:rPr>
                <w:rFonts w:cs="Arial"/>
                <w:bCs/>
                <w:color w:val="000000"/>
              </w:rPr>
              <w:t>Overall</w:t>
            </w:r>
            <w:r w:rsidR="001B0704" w:rsidRPr="008B5134">
              <w:rPr>
                <w:rFonts w:cs="Arial"/>
                <w:bCs/>
                <w:color w:val="000000"/>
              </w:rPr>
              <w:t xml:space="preserve"> ESR</w:t>
            </w:r>
          </w:p>
        </w:tc>
      </w:tr>
      <w:tr w:rsidR="00A9501F" w:rsidRPr="00DE60BD" w14:paraId="493D72FF" w14:textId="77777777" w:rsidTr="00402DF8">
        <w:trPr>
          <w:trHeight w:val="300"/>
        </w:trPr>
        <w:tc>
          <w:tcPr>
            <w:tcW w:w="846" w:type="dxa"/>
            <w:shd w:val="clear" w:color="auto" w:fill="auto"/>
            <w:noWrap/>
            <w:hideMark/>
          </w:tcPr>
          <w:p w14:paraId="37F465A6" w14:textId="77777777" w:rsidR="00A9501F" w:rsidRPr="007F1E02" w:rsidRDefault="00A9501F" w:rsidP="008B5134">
            <w:pPr>
              <w:spacing w:line="240" w:lineRule="auto"/>
              <w:jc w:val="center"/>
              <w:rPr>
                <w:rFonts w:eastAsia="Times New Roman" w:cs="Arial"/>
                <w:color w:val="000000"/>
                <w:lang w:eastAsia="zh-CN"/>
              </w:rPr>
            </w:pPr>
            <w:r>
              <w:rPr>
                <w:rFonts w:cs="Arial"/>
                <w:color w:val="000000"/>
              </w:rPr>
              <w:t>1970</w:t>
            </w:r>
          </w:p>
        </w:tc>
        <w:tc>
          <w:tcPr>
            <w:tcW w:w="1701" w:type="dxa"/>
          </w:tcPr>
          <w:p w14:paraId="35EC6723" w14:textId="77777777" w:rsidR="00A9501F" w:rsidRPr="007F1E02" w:rsidRDefault="00A9501F" w:rsidP="008B5134">
            <w:pPr>
              <w:jc w:val="center"/>
              <w:rPr>
                <w:rFonts w:eastAsia="Times New Roman" w:cs="Arial"/>
                <w:sz w:val="20"/>
                <w:szCs w:val="20"/>
                <w:lang w:eastAsia="zh-CN"/>
              </w:rPr>
            </w:pPr>
            <w:r>
              <w:rPr>
                <w:rFonts w:cs="Arial"/>
                <w:color w:val="000000"/>
              </w:rPr>
              <w:t>0.45376</w:t>
            </w:r>
          </w:p>
        </w:tc>
      </w:tr>
      <w:tr w:rsidR="00A9501F" w:rsidRPr="00DE60BD" w14:paraId="10508091" w14:textId="77777777" w:rsidTr="00402DF8">
        <w:trPr>
          <w:trHeight w:val="300"/>
        </w:trPr>
        <w:tc>
          <w:tcPr>
            <w:tcW w:w="846" w:type="dxa"/>
            <w:shd w:val="clear" w:color="auto" w:fill="auto"/>
            <w:noWrap/>
            <w:hideMark/>
          </w:tcPr>
          <w:p w14:paraId="55716CD6" w14:textId="77777777" w:rsidR="00A9501F" w:rsidRPr="007F1E02" w:rsidRDefault="00A9501F" w:rsidP="008B5134">
            <w:pPr>
              <w:spacing w:line="240" w:lineRule="auto"/>
              <w:jc w:val="center"/>
              <w:rPr>
                <w:rFonts w:eastAsia="Times New Roman" w:cs="Arial"/>
                <w:color w:val="000000"/>
                <w:lang w:eastAsia="zh-CN"/>
              </w:rPr>
            </w:pPr>
            <w:r>
              <w:rPr>
                <w:rFonts w:cs="Arial"/>
                <w:color w:val="000000"/>
              </w:rPr>
              <w:t>1980</w:t>
            </w:r>
          </w:p>
        </w:tc>
        <w:tc>
          <w:tcPr>
            <w:tcW w:w="1701" w:type="dxa"/>
          </w:tcPr>
          <w:p w14:paraId="7B694387" w14:textId="77777777" w:rsidR="00A9501F" w:rsidRPr="007F1E02" w:rsidRDefault="00A9501F" w:rsidP="008B5134">
            <w:pPr>
              <w:jc w:val="center"/>
              <w:rPr>
                <w:rFonts w:eastAsia="Times New Roman" w:cs="Arial"/>
                <w:sz w:val="20"/>
                <w:szCs w:val="20"/>
                <w:lang w:eastAsia="zh-CN"/>
              </w:rPr>
            </w:pPr>
            <w:r>
              <w:rPr>
                <w:rFonts w:cs="Arial"/>
                <w:color w:val="000000"/>
              </w:rPr>
              <w:t>0.61754</w:t>
            </w:r>
          </w:p>
        </w:tc>
      </w:tr>
      <w:tr w:rsidR="00A9501F" w:rsidRPr="00DE60BD" w14:paraId="7BDAC904" w14:textId="77777777" w:rsidTr="00402DF8">
        <w:trPr>
          <w:trHeight w:val="300"/>
        </w:trPr>
        <w:tc>
          <w:tcPr>
            <w:tcW w:w="846" w:type="dxa"/>
            <w:shd w:val="clear" w:color="auto" w:fill="auto"/>
            <w:noWrap/>
            <w:hideMark/>
          </w:tcPr>
          <w:p w14:paraId="7B60EB27" w14:textId="77777777" w:rsidR="00A9501F" w:rsidRPr="007F1E02" w:rsidRDefault="00A9501F" w:rsidP="008B5134">
            <w:pPr>
              <w:spacing w:line="240" w:lineRule="auto"/>
              <w:jc w:val="center"/>
              <w:rPr>
                <w:rFonts w:eastAsia="Times New Roman" w:cs="Arial"/>
                <w:color w:val="000000"/>
                <w:lang w:eastAsia="zh-CN"/>
              </w:rPr>
            </w:pPr>
            <w:r>
              <w:rPr>
                <w:rFonts w:cs="Arial"/>
                <w:color w:val="000000"/>
              </w:rPr>
              <w:t>1990</w:t>
            </w:r>
          </w:p>
        </w:tc>
        <w:tc>
          <w:tcPr>
            <w:tcW w:w="1701" w:type="dxa"/>
          </w:tcPr>
          <w:p w14:paraId="502A2503" w14:textId="77777777" w:rsidR="00A9501F" w:rsidRPr="007F1E02" w:rsidRDefault="00A9501F" w:rsidP="008B5134">
            <w:pPr>
              <w:jc w:val="center"/>
              <w:rPr>
                <w:rFonts w:eastAsia="Times New Roman" w:cs="Arial"/>
                <w:sz w:val="20"/>
                <w:szCs w:val="20"/>
                <w:lang w:eastAsia="zh-CN"/>
              </w:rPr>
            </w:pPr>
            <w:r>
              <w:rPr>
                <w:rFonts w:cs="Arial"/>
                <w:color w:val="000000"/>
              </w:rPr>
              <w:t>1.10331</w:t>
            </w:r>
          </w:p>
        </w:tc>
      </w:tr>
      <w:tr w:rsidR="00A9501F" w:rsidRPr="00DE60BD" w14:paraId="4122FF00" w14:textId="77777777" w:rsidTr="00402DF8">
        <w:trPr>
          <w:trHeight w:val="300"/>
        </w:trPr>
        <w:tc>
          <w:tcPr>
            <w:tcW w:w="846" w:type="dxa"/>
            <w:shd w:val="clear" w:color="auto" w:fill="auto"/>
            <w:noWrap/>
            <w:hideMark/>
          </w:tcPr>
          <w:p w14:paraId="135E91FF" w14:textId="77777777" w:rsidR="00A9501F" w:rsidRPr="007F1E02" w:rsidRDefault="00A9501F" w:rsidP="008B5134">
            <w:pPr>
              <w:spacing w:line="240" w:lineRule="auto"/>
              <w:jc w:val="center"/>
              <w:rPr>
                <w:rFonts w:eastAsia="Times New Roman" w:cs="Arial"/>
                <w:color w:val="000000"/>
                <w:lang w:eastAsia="zh-CN"/>
              </w:rPr>
            </w:pPr>
            <w:r>
              <w:rPr>
                <w:rFonts w:cs="Arial"/>
                <w:color w:val="000000"/>
              </w:rPr>
              <w:t>2000</w:t>
            </w:r>
          </w:p>
        </w:tc>
        <w:tc>
          <w:tcPr>
            <w:tcW w:w="1701" w:type="dxa"/>
          </w:tcPr>
          <w:p w14:paraId="2E139AB6" w14:textId="77777777" w:rsidR="00A9501F" w:rsidRPr="007F1E02" w:rsidRDefault="00A9501F" w:rsidP="008B5134">
            <w:pPr>
              <w:jc w:val="center"/>
              <w:rPr>
                <w:rFonts w:eastAsia="Times New Roman" w:cs="Arial"/>
                <w:sz w:val="20"/>
                <w:szCs w:val="20"/>
                <w:lang w:eastAsia="zh-CN"/>
              </w:rPr>
            </w:pPr>
            <w:r>
              <w:rPr>
                <w:rFonts w:cs="Arial"/>
                <w:color w:val="000000"/>
              </w:rPr>
              <w:t>1.41409</w:t>
            </w:r>
          </w:p>
        </w:tc>
      </w:tr>
      <w:tr w:rsidR="00A9501F" w:rsidRPr="00DE60BD" w14:paraId="0867BA17" w14:textId="77777777" w:rsidTr="00402DF8">
        <w:trPr>
          <w:trHeight w:val="300"/>
        </w:trPr>
        <w:tc>
          <w:tcPr>
            <w:tcW w:w="846" w:type="dxa"/>
            <w:shd w:val="clear" w:color="auto" w:fill="auto"/>
            <w:noWrap/>
            <w:hideMark/>
          </w:tcPr>
          <w:p w14:paraId="769D7664" w14:textId="77777777" w:rsidR="00A9501F" w:rsidRPr="007F1E02" w:rsidRDefault="00A9501F" w:rsidP="008B5134">
            <w:pPr>
              <w:spacing w:line="240" w:lineRule="auto"/>
              <w:jc w:val="center"/>
              <w:rPr>
                <w:rFonts w:eastAsia="Times New Roman" w:cs="Arial"/>
                <w:color w:val="000000"/>
                <w:lang w:eastAsia="zh-CN"/>
              </w:rPr>
            </w:pPr>
            <w:r>
              <w:rPr>
                <w:rFonts w:cs="Arial"/>
                <w:color w:val="000000"/>
              </w:rPr>
              <w:t>2010</w:t>
            </w:r>
          </w:p>
        </w:tc>
        <w:tc>
          <w:tcPr>
            <w:tcW w:w="1701" w:type="dxa"/>
          </w:tcPr>
          <w:p w14:paraId="11D3E0E7" w14:textId="77777777" w:rsidR="00A9501F" w:rsidRPr="007F1E02" w:rsidRDefault="00A9501F" w:rsidP="008B5134">
            <w:pPr>
              <w:jc w:val="center"/>
              <w:rPr>
                <w:rFonts w:eastAsia="Times New Roman" w:cs="Arial"/>
                <w:sz w:val="20"/>
                <w:szCs w:val="20"/>
                <w:lang w:eastAsia="zh-CN"/>
              </w:rPr>
            </w:pPr>
            <w:r>
              <w:rPr>
                <w:rFonts w:cs="Arial"/>
                <w:color w:val="000000"/>
              </w:rPr>
              <w:t>1.56694</w:t>
            </w:r>
          </w:p>
        </w:tc>
      </w:tr>
      <w:tr w:rsidR="00A9501F" w:rsidRPr="00DE60BD" w14:paraId="739DF217" w14:textId="77777777" w:rsidTr="00402DF8">
        <w:trPr>
          <w:trHeight w:val="300"/>
        </w:trPr>
        <w:tc>
          <w:tcPr>
            <w:tcW w:w="846" w:type="dxa"/>
            <w:shd w:val="clear" w:color="auto" w:fill="auto"/>
            <w:noWrap/>
            <w:hideMark/>
          </w:tcPr>
          <w:p w14:paraId="0E5AB25D" w14:textId="77777777" w:rsidR="00A9501F" w:rsidRPr="007F1E02" w:rsidRDefault="00A9501F" w:rsidP="008B5134">
            <w:pPr>
              <w:spacing w:line="240" w:lineRule="auto"/>
              <w:jc w:val="center"/>
              <w:rPr>
                <w:rFonts w:eastAsia="Times New Roman" w:cs="Arial"/>
                <w:color w:val="000000"/>
                <w:lang w:eastAsia="zh-CN"/>
              </w:rPr>
            </w:pPr>
            <w:r>
              <w:rPr>
                <w:rFonts w:cs="Arial"/>
                <w:color w:val="000000"/>
              </w:rPr>
              <w:t>2020</w:t>
            </w:r>
          </w:p>
        </w:tc>
        <w:tc>
          <w:tcPr>
            <w:tcW w:w="1701" w:type="dxa"/>
          </w:tcPr>
          <w:p w14:paraId="4879617E" w14:textId="77777777" w:rsidR="00A9501F" w:rsidRPr="007F1E02" w:rsidRDefault="00A9501F" w:rsidP="008B5134">
            <w:pPr>
              <w:jc w:val="center"/>
              <w:rPr>
                <w:rFonts w:eastAsia="Times New Roman" w:cs="Arial"/>
                <w:sz w:val="20"/>
                <w:szCs w:val="20"/>
                <w:lang w:eastAsia="zh-CN"/>
              </w:rPr>
            </w:pPr>
            <w:r>
              <w:rPr>
                <w:rFonts w:cs="Arial"/>
                <w:color w:val="000000"/>
              </w:rPr>
              <w:t>1.44401</w:t>
            </w:r>
          </w:p>
        </w:tc>
      </w:tr>
    </w:tbl>
    <w:p w14:paraId="0D5D5BF6" w14:textId="77777777" w:rsidR="00A9501F" w:rsidRDefault="00A9501F" w:rsidP="00A9501F">
      <w:pPr>
        <w:jc w:val="both"/>
        <w:rPr>
          <w:rFonts w:cs="Arial"/>
        </w:rPr>
      </w:pPr>
    </w:p>
    <w:p w14:paraId="519DACBB" w14:textId="77777777" w:rsidR="00A9501F" w:rsidRDefault="00A9501F" w:rsidP="00A9501F">
      <w:pPr>
        <w:jc w:val="both"/>
        <w:rPr>
          <w:rFonts w:cs="Arial"/>
        </w:rPr>
      </w:pPr>
      <w:r>
        <w:rPr>
          <w:rFonts w:cs="Arial"/>
        </w:rPr>
        <w:t xml:space="preserve">These figures are based on 2013 income and consumption figures. ESR in 1970 was 0.454, rises above 1 by 1990, and rises to a peak of 1.57 in 2010 and ends at 1.44 in 2020. </w:t>
      </w:r>
    </w:p>
    <w:p w14:paraId="28F85CE6" w14:textId="77777777" w:rsidR="00A9501F" w:rsidRDefault="00A9501F" w:rsidP="00A9501F">
      <w:pPr>
        <w:jc w:val="both"/>
        <w:rPr>
          <w:rFonts w:cs="Arial"/>
        </w:rPr>
      </w:pPr>
      <w:r>
        <w:rPr>
          <w:rFonts w:cs="Arial"/>
        </w:rPr>
        <w:t>This is at the overall level, consisting of the various HQA together. Disaggregating the overall figures by HQA shows the divergence and to some extent, the education premium.</w:t>
      </w:r>
    </w:p>
    <w:p w14:paraId="5B10AAA9" w14:textId="77777777" w:rsidR="00A9501F" w:rsidRDefault="00A9501F" w:rsidP="00A9501F">
      <w:pPr>
        <w:jc w:val="both"/>
        <w:rPr>
          <w:rFonts w:cs="Arial"/>
        </w:rPr>
      </w:pPr>
    </w:p>
    <w:p w14:paraId="296FFDB2" w14:textId="77777777" w:rsidR="00A9501F" w:rsidRDefault="00A9501F" w:rsidP="00745C53">
      <w:pPr>
        <w:rPr>
          <w:rFonts w:cs="Arial"/>
        </w:rPr>
      </w:pPr>
      <w:r>
        <w:rPr>
          <w:noProof/>
        </w:rPr>
        <w:lastRenderedPageBreak/>
        <w:drawing>
          <wp:inline distT="0" distB="0" distL="0" distR="0" wp14:anchorId="1D2BFF01" wp14:editId="5FC864EC">
            <wp:extent cx="5731510" cy="4008120"/>
            <wp:effectExtent l="0" t="0" r="8890" b="17780"/>
            <wp:docPr id="3" name="Chart 3">
              <a:extLst xmlns:a="http://schemas.openxmlformats.org/drawingml/2006/main">
                <a:ext uri="{FF2B5EF4-FFF2-40B4-BE49-F238E27FC236}">
                  <a16:creationId xmlns:a16="http://schemas.microsoft.com/office/drawing/2014/main" id="{9A0C1F2C-3D22-451A-972B-883A81241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646982" w14:textId="75C6F6C5" w:rsidR="00A9501F" w:rsidRPr="00745C53" w:rsidRDefault="00745C53" w:rsidP="001B0704">
      <w:pPr>
        <w:rPr>
          <w:rFonts w:cs="Arial"/>
          <w:b/>
          <w:bCs/>
        </w:rPr>
      </w:pPr>
      <w:r w:rsidRPr="00745C53">
        <w:rPr>
          <w:rFonts w:cs="Arial"/>
          <w:b/>
          <w:bCs/>
        </w:rPr>
        <w:t>Table 4: Economic Support Ratio by Highest Qualification Attained and Decade</w:t>
      </w:r>
    </w:p>
    <w:tbl>
      <w:tblPr>
        <w:tblW w:w="5970" w:type="dxa"/>
        <w:tblLook w:val="04A0" w:firstRow="1" w:lastRow="0" w:firstColumn="1" w:lastColumn="0" w:noHBand="0" w:noVBand="1"/>
      </w:tblPr>
      <w:tblGrid>
        <w:gridCol w:w="1060"/>
        <w:gridCol w:w="1134"/>
        <w:gridCol w:w="1364"/>
        <w:gridCol w:w="1364"/>
        <w:gridCol w:w="1084"/>
        <w:gridCol w:w="222"/>
      </w:tblGrid>
      <w:tr w:rsidR="00A9501F" w:rsidRPr="00A10041" w14:paraId="3D301824" w14:textId="77777777" w:rsidTr="008B5134">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4F3083E1" w14:textId="4BA93FF3" w:rsidR="00A9501F" w:rsidRPr="00745C53" w:rsidRDefault="00745C53" w:rsidP="008B5134">
            <w:pPr>
              <w:spacing w:line="240" w:lineRule="auto"/>
              <w:jc w:val="center"/>
              <w:rPr>
                <w:rFonts w:eastAsia="Times New Roman" w:cs="Arial"/>
                <w:bCs/>
                <w:color w:val="000000"/>
                <w:lang w:eastAsia="zh-CN"/>
              </w:rPr>
            </w:pPr>
            <w:r>
              <w:rPr>
                <w:rFonts w:eastAsia="Times New Roman" w:cs="Arial"/>
                <w:bCs/>
                <w:color w:val="000000"/>
                <w:lang w:eastAsia="zh-CN"/>
              </w:rPr>
              <w:t>Decade</w:t>
            </w:r>
          </w:p>
        </w:tc>
        <w:tc>
          <w:tcPr>
            <w:tcW w:w="1134" w:type="dxa"/>
            <w:tcBorders>
              <w:top w:val="single" w:sz="4" w:space="0" w:color="auto"/>
              <w:left w:val="nil"/>
              <w:bottom w:val="single" w:sz="4" w:space="0" w:color="auto"/>
              <w:right w:val="single" w:sz="4" w:space="0" w:color="auto"/>
            </w:tcBorders>
            <w:shd w:val="clear" w:color="auto" w:fill="auto"/>
            <w:noWrap/>
            <w:hideMark/>
          </w:tcPr>
          <w:p w14:paraId="13403EE9" w14:textId="77777777" w:rsidR="00A9501F" w:rsidRPr="00745C53" w:rsidRDefault="00A9501F" w:rsidP="008B5134">
            <w:pPr>
              <w:spacing w:line="240" w:lineRule="auto"/>
              <w:jc w:val="center"/>
              <w:rPr>
                <w:rFonts w:eastAsia="Times New Roman" w:cs="Arial"/>
                <w:bCs/>
                <w:color w:val="000000"/>
                <w:lang w:eastAsia="zh-CN"/>
              </w:rPr>
            </w:pPr>
            <w:r w:rsidRPr="00745C53">
              <w:rPr>
                <w:rFonts w:eastAsia="Times New Roman" w:cs="Arial"/>
                <w:bCs/>
                <w:color w:val="000000"/>
                <w:lang w:eastAsia="zh-CN"/>
              </w:rPr>
              <w:t>Primary</w:t>
            </w:r>
          </w:p>
        </w:tc>
        <w:tc>
          <w:tcPr>
            <w:tcW w:w="1134" w:type="dxa"/>
            <w:tcBorders>
              <w:top w:val="single" w:sz="4" w:space="0" w:color="auto"/>
              <w:left w:val="nil"/>
              <w:bottom w:val="single" w:sz="4" w:space="0" w:color="auto"/>
              <w:right w:val="single" w:sz="4" w:space="0" w:color="auto"/>
            </w:tcBorders>
            <w:shd w:val="clear" w:color="auto" w:fill="auto"/>
            <w:noWrap/>
            <w:hideMark/>
          </w:tcPr>
          <w:p w14:paraId="22BA20E7" w14:textId="77777777" w:rsidR="00A9501F" w:rsidRPr="00745C53" w:rsidRDefault="00A9501F" w:rsidP="008B5134">
            <w:pPr>
              <w:spacing w:line="240" w:lineRule="auto"/>
              <w:jc w:val="center"/>
              <w:rPr>
                <w:rFonts w:eastAsia="Times New Roman" w:cs="Arial"/>
                <w:bCs/>
                <w:color w:val="000000"/>
                <w:lang w:eastAsia="zh-CN"/>
              </w:rPr>
            </w:pPr>
            <w:r w:rsidRPr="00745C53">
              <w:rPr>
                <w:rFonts w:eastAsia="Times New Roman" w:cs="Arial"/>
                <w:bCs/>
                <w:color w:val="000000"/>
                <w:lang w:eastAsia="zh-CN"/>
              </w:rPr>
              <w:t>Secondary</w:t>
            </w:r>
          </w:p>
        </w:tc>
        <w:tc>
          <w:tcPr>
            <w:tcW w:w="1203" w:type="dxa"/>
            <w:tcBorders>
              <w:top w:val="single" w:sz="4" w:space="0" w:color="auto"/>
              <w:left w:val="nil"/>
              <w:bottom w:val="single" w:sz="4" w:space="0" w:color="auto"/>
              <w:right w:val="single" w:sz="4" w:space="0" w:color="auto"/>
            </w:tcBorders>
            <w:shd w:val="clear" w:color="auto" w:fill="auto"/>
            <w:noWrap/>
            <w:hideMark/>
          </w:tcPr>
          <w:p w14:paraId="598CF07E" w14:textId="77777777" w:rsidR="00A9501F" w:rsidRPr="00745C53" w:rsidRDefault="00A9501F" w:rsidP="008B5134">
            <w:pPr>
              <w:spacing w:line="240" w:lineRule="auto"/>
              <w:jc w:val="center"/>
              <w:rPr>
                <w:rFonts w:eastAsia="Times New Roman" w:cs="Arial"/>
                <w:bCs/>
                <w:color w:val="000000"/>
                <w:lang w:eastAsia="zh-CN"/>
              </w:rPr>
            </w:pPr>
            <w:r w:rsidRPr="00745C53">
              <w:rPr>
                <w:rFonts w:eastAsia="Times New Roman" w:cs="Arial"/>
                <w:bCs/>
                <w:color w:val="000000"/>
                <w:lang w:eastAsia="zh-CN"/>
              </w:rPr>
              <w:t>Post-Secondary</w:t>
            </w:r>
          </w:p>
        </w:tc>
        <w:tc>
          <w:tcPr>
            <w:tcW w:w="1203" w:type="dxa"/>
            <w:tcBorders>
              <w:top w:val="single" w:sz="4" w:space="0" w:color="auto"/>
              <w:left w:val="nil"/>
              <w:bottom w:val="single" w:sz="4" w:space="0" w:color="auto"/>
              <w:right w:val="nil"/>
            </w:tcBorders>
          </w:tcPr>
          <w:p w14:paraId="0EF302EB" w14:textId="77777777" w:rsidR="00A9501F" w:rsidRPr="00745C53" w:rsidRDefault="00A9501F" w:rsidP="008B5134">
            <w:pPr>
              <w:spacing w:line="240" w:lineRule="auto"/>
              <w:jc w:val="center"/>
              <w:rPr>
                <w:rFonts w:eastAsia="Times New Roman" w:cs="Arial"/>
                <w:bCs/>
                <w:color w:val="000000"/>
                <w:lang w:eastAsia="zh-CN"/>
              </w:rPr>
            </w:pPr>
            <w:r w:rsidRPr="00745C53">
              <w:rPr>
                <w:rFonts w:eastAsia="Times New Roman" w:cs="Arial"/>
                <w:bCs/>
                <w:color w:val="000000"/>
                <w:lang w:eastAsia="zh-CN"/>
              </w:rPr>
              <w:t>Tertiary</w:t>
            </w:r>
          </w:p>
        </w:tc>
        <w:tc>
          <w:tcPr>
            <w:tcW w:w="236" w:type="dxa"/>
            <w:tcBorders>
              <w:top w:val="single" w:sz="4" w:space="0" w:color="auto"/>
              <w:left w:val="nil"/>
              <w:bottom w:val="single" w:sz="4" w:space="0" w:color="auto"/>
              <w:right w:val="single" w:sz="4" w:space="0" w:color="auto"/>
            </w:tcBorders>
          </w:tcPr>
          <w:p w14:paraId="1BC3AF7D" w14:textId="77777777" w:rsidR="00A9501F" w:rsidRPr="00B465BC" w:rsidRDefault="00A9501F" w:rsidP="008B5134">
            <w:pPr>
              <w:spacing w:line="240" w:lineRule="auto"/>
              <w:jc w:val="center"/>
              <w:rPr>
                <w:rFonts w:eastAsia="Times New Roman" w:cs="Arial"/>
                <w:color w:val="000000"/>
                <w:lang w:eastAsia="zh-CN"/>
              </w:rPr>
            </w:pPr>
          </w:p>
        </w:tc>
      </w:tr>
      <w:tr w:rsidR="00A9501F" w:rsidRPr="00A10041" w14:paraId="1E66AEEE"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791AECB9"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1970</w:t>
            </w:r>
          </w:p>
        </w:tc>
        <w:tc>
          <w:tcPr>
            <w:tcW w:w="1134" w:type="dxa"/>
            <w:tcBorders>
              <w:top w:val="nil"/>
              <w:left w:val="nil"/>
              <w:bottom w:val="single" w:sz="4" w:space="0" w:color="auto"/>
              <w:right w:val="single" w:sz="4" w:space="0" w:color="auto"/>
            </w:tcBorders>
            <w:shd w:val="clear" w:color="auto" w:fill="auto"/>
            <w:noWrap/>
            <w:hideMark/>
          </w:tcPr>
          <w:p w14:paraId="18F878A2"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0.391</w:t>
            </w:r>
          </w:p>
        </w:tc>
        <w:tc>
          <w:tcPr>
            <w:tcW w:w="1134" w:type="dxa"/>
            <w:tcBorders>
              <w:top w:val="nil"/>
              <w:left w:val="nil"/>
              <w:bottom w:val="single" w:sz="4" w:space="0" w:color="auto"/>
              <w:right w:val="single" w:sz="4" w:space="0" w:color="auto"/>
            </w:tcBorders>
            <w:shd w:val="clear" w:color="auto" w:fill="auto"/>
            <w:noWrap/>
            <w:hideMark/>
          </w:tcPr>
          <w:p w14:paraId="0F38A969"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0.852</w:t>
            </w:r>
          </w:p>
        </w:tc>
        <w:tc>
          <w:tcPr>
            <w:tcW w:w="1203" w:type="dxa"/>
            <w:tcBorders>
              <w:top w:val="nil"/>
              <w:left w:val="nil"/>
              <w:bottom w:val="single" w:sz="4" w:space="0" w:color="auto"/>
              <w:right w:val="single" w:sz="4" w:space="0" w:color="auto"/>
            </w:tcBorders>
            <w:shd w:val="clear" w:color="auto" w:fill="auto"/>
            <w:noWrap/>
            <w:hideMark/>
          </w:tcPr>
          <w:p w14:paraId="0BC7CA5C"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8.78</w:t>
            </w:r>
            <w:r>
              <w:rPr>
                <w:rFonts w:eastAsia="Times New Roman" w:cs="Arial"/>
                <w:color w:val="000000"/>
                <w:lang w:eastAsia="zh-CN"/>
              </w:rPr>
              <w:t>2</w:t>
            </w:r>
          </w:p>
        </w:tc>
        <w:tc>
          <w:tcPr>
            <w:tcW w:w="1203" w:type="dxa"/>
            <w:tcBorders>
              <w:top w:val="nil"/>
              <w:left w:val="nil"/>
              <w:bottom w:val="single" w:sz="4" w:space="0" w:color="auto"/>
              <w:right w:val="nil"/>
            </w:tcBorders>
          </w:tcPr>
          <w:p w14:paraId="0AAADB28"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43.54</w:t>
            </w:r>
            <w:r>
              <w:rPr>
                <w:rFonts w:eastAsia="Times New Roman" w:cs="Arial"/>
                <w:color w:val="000000"/>
                <w:lang w:eastAsia="zh-CN"/>
              </w:rPr>
              <w:t>2</w:t>
            </w:r>
          </w:p>
        </w:tc>
        <w:tc>
          <w:tcPr>
            <w:tcW w:w="236" w:type="dxa"/>
            <w:tcBorders>
              <w:top w:val="nil"/>
              <w:left w:val="nil"/>
              <w:bottom w:val="single" w:sz="4" w:space="0" w:color="auto"/>
              <w:right w:val="single" w:sz="4" w:space="0" w:color="auto"/>
            </w:tcBorders>
          </w:tcPr>
          <w:p w14:paraId="57A635B1" w14:textId="77777777" w:rsidR="00A9501F" w:rsidRPr="00B465BC" w:rsidRDefault="00A9501F" w:rsidP="008B5134">
            <w:pPr>
              <w:spacing w:line="240" w:lineRule="auto"/>
              <w:jc w:val="center"/>
              <w:rPr>
                <w:rFonts w:eastAsia="Times New Roman" w:cs="Arial"/>
                <w:color w:val="000000"/>
                <w:lang w:eastAsia="zh-CN"/>
              </w:rPr>
            </w:pPr>
          </w:p>
        </w:tc>
      </w:tr>
      <w:tr w:rsidR="00A9501F" w:rsidRPr="00A10041" w14:paraId="3BA0351A"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64519BF4"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1980</w:t>
            </w:r>
          </w:p>
        </w:tc>
        <w:tc>
          <w:tcPr>
            <w:tcW w:w="1134" w:type="dxa"/>
            <w:tcBorders>
              <w:top w:val="nil"/>
              <w:left w:val="nil"/>
              <w:bottom w:val="single" w:sz="4" w:space="0" w:color="auto"/>
              <w:right w:val="single" w:sz="4" w:space="0" w:color="auto"/>
            </w:tcBorders>
            <w:shd w:val="clear" w:color="auto" w:fill="auto"/>
            <w:noWrap/>
            <w:hideMark/>
          </w:tcPr>
          <w:p w14:paraId="29D8C206"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0.539</w:t>
            </w:r>
          </w:p>
        </w:tc>
        <w:tc>
          <w:tcPr>
            <w:tcW w:w="1134" w:type="dxa"/>
            <w:tcBorders>
              <w:top w:val="nil"/>
              <w:left w:val="nil"/>
              <w:bottom w:val="single" w:sz="4" w:space="0" w:color="auto"/>
              <w:right w:val="single" w:sz="4" w:space="0" w:color="auto"/>
            </w:tcBorders>
            <w:shd w:val="clear" w:color="auto" w:fill="auto"/>
            <w:noWrap/>
            <w:hideMark/>
          </w:tcPr>
          <w:p w14:paraId="7B98269C"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0.434</w:t>
            </w:r>
          </w:p>
        </w:tc>
        <w:tc>
          <w:tcPr>
            <w:tcW w:w="1203" w:type="dxa"/>
            <w:tcBorders>
              <w:top w:val="nil"/>
              <w:left w:val="nil"/>
              <w:bottom w:val="single" w:sz="4" w:space="0" w:color="auto"/>
              <w:right w:val="single" w:sz="4" w:space="0" w:color="auto"/>
            </w:tcBorders>
            <w:shd w:val="clear" w:color="auto" w:fill="auto"/>
            <w:noWrap/>
            <w:hideMark/>
          </w:tcPr>
          <w:p w14:paraId="170E24FD"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2.76</w:t>
            </w:r>
            <w:r>
              <w:rPr>
                <w:rFonts w:eastAsia="Times New Roman" w:cs="Arial"/>
                <w:color w:val="000000"/>
                <w:lang w:eastAsia="zh-CN"/>
              </w:rPr>
              <w:t>5</w:t>
            </w:r>
          </w:p>
        </w:tc>
        <w:tc>
          <w:tcPr>
            <w:tcW w:w="1203" w:type="dxa"/>
            <w:tcBorders>
              <w:top w:val="nil"/>
              <w:left w:val="nil"/>
              <w:bottom w:val="single" w:sz="4" w:space="0" w:color="auto"/>
              <w:right w:val="nil"/>
            </w:tcBorders>
          </w:tcPr>
          <w:p w14:paraId="14ADAA32"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23.474</w:t>
            </w:r>
          </w:p>
        </w:tc>
        <w:tc>
          <w:tcPr>
            <w:tcW w:w="236" w:type="dxa"/>
            <w:tcBorders>
              <w:top w:val="nil"/>
              <w:left w:val="nil"/>
              <w:bottom w:val="single" w:sz="4" w:space="0" w:color="auto"/>
              <w:right w:val="single" w:sz="4" w:space="0" w:color="auto"/>
            </w:tcBorders>
          </w:tcPr>
          <w:p w14:paraId="6567010D" w14:textId="77777777" w:rsidR="00A9501F" w:rsidRPr="00B465BC" w:rsidRDefault="00A9501F" w:rsidP="008B5134">
            <w:pPr>
              <w:spacing w:line="240" w:lineRule="auto"/>
              <w:jc w:val="center"/>
              <w:rPr>
                <w:rFonts w:eastAsia="Times New Roman" w:cs="Arial"/>
                <w:color w:val="000000"/>
                <w:lang w:eastAsia="zh-CN"/>
              </w:rPr>
            </w:pPr>
          </w:p>
        </w:tc>
      </w:tr>
      <w:tr w:rsidR="00A9501F" w:rsidRPr="00A10041" w14:paraId="2A550C61"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0C21F712"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1990</w:t>
            </w:r>
          </w:p>
        </w:tc>
        <w:tc>
          <w:tcPr>
            <w:tcW w:w="1134" w:type="dxa"/>
            <w:tcBorders>
              <w:top w:val="nil"/>
              <w:left w:val="nil"/>
              <w:bottom w:val="single" w:sz="4" w:space="0" w:color="auto"/>
              <w:right w:val="single" w:sz="4" w:space="0" w:color="auto"/>
            </w:tcBorders>
            <w:shd w:val="clear" w:color="auto" w:fill="auto"/>
            <w:noWrap/>
            <w:hideMark/>
          </w:tcPr>
          <w:p w14:paraId="0E10321A"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0.489</w:t>
            </w:r>
          </w:p>
        </w:tc>
        <w:tc>
          <w:tcPr>
            <w:tcW w:w="1134" w:type="dxa"/>
            <w:tcBorders>
              <w:top w:val="nil"/>
              <w:left w:val="nil"/>
              <w:bottom w:val="single" w:sz="4" w:space="0" w:color="auto"/>
              <w:right w:val="single" w:sz="4" w:space="0" w:color="auto"/>
            </w:tcBorders>
            <w:shd w:val="clear" w:color="auto" w:fill="auto"/>
            <w:noWrap/>
            <w:hideMark/>
          </w:tcPr>
          <w:p w14:paraId="1E5ECAA4"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1.959</w:t>
            </w:r>
          </w:p>
        </w:tc>
        <w:tc>
          <w:tcPr>
            <w:tcW w:w="1203" w:type="dxa"/>
            <w:tcBorders>
              <w:top w:val="nil"/>
              <w:left w:val="nil"/>
              <w:bottom w:val="single" w:sz="4" w:space="0" w:color="auto"/>
              <w:right w:val="single" w:sz="4" w:space="0" w:color="auto"/>
            </w:tcBorders>
            <w:shd w:val="clear" w:color="auto" w:fill="auto"/>
            <w:noWrap/>
            <w:hideMark/>
          </w:tcPr>
          <w:p w14:paraId="3590BC16"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2.438</w:t>
            </w:r>
          </w:p>
        </w:tc>
        <w:tc>
          <w:tcPr>
            <w:tcW w:w="1203" w:type="dxa"/>
            <w:tcBorders>
              <w:top w:val="nil"/>
              <w:left w:val="nil"/>
              <w:bottom w:val="single" w:sz="4" w:space="0" w:color="auto"/>
              <w:right w:val="nil"/>
            </w:tcBorders>
          </w:tcPr>
          <w:p w14:paraId="0C8C6EEA"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40.821</w:t>
            </w:r>
          </w:p>
        </w:tc>
        <w:tc>
          <w:tcPr>
            <w:tcW w:w="236" w:type="dxa"/>
            <w:tcBorders>
              <w:top w:val="nil"/>
              <w:left w:val="nil"/>
              <w:bottom w:val="single" w:sz="4" w:space="0" w:color="auto"/>
              <w:right w:val="single" w:sz="4" w:space="0" w:color="auto"/>
            </w:tcBorders>
          </w:tcPr>
          <w:p w14:paraId="0287AF19" w14:textId="77777777" w:rsidR="00A9501F" w:rsidRPr="00B465BC" w:rsidRDefault="00A9501F" w:rsidP="008B5134">
            <w:pPr>
              <w:spacing w:line="240" w:lineRule="auto"/>
              <w:jc w:val="center"/>
              <w:rPr>
                <w:rFonts w:eastAsia="Times New Roman" w:cs="Arial"/>
                <w:color w:val="000000"/>
                <w:lang w:eastAsia="zh-CN"/>
              </w:rPr>
            </w:pPr>
          </w:p>
        </w:tc>
      </w:tr>
      <w:tr w:rsidR="00A9501F" w:rsidRPr="00A10041" w14:paraId="45EE17D2"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1BC8A4DB"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2000</w:t>
            </w:r>
          </w:p>
        </w:tc>
        <w:tc>
          <w:tcPr>
            <w:tcW w:w="1134" w:type="dxa"/>
            <w:tcBorders>
              <w:top w:val="nil"/>
              <w:left w:val="nil"/>
              <w:bottom w:val="single" w:sz="4" w:space="0" w:color="auto"/>
              <w:right w:val="single" w:sz="4" w:space="0" w:color="auto"/>
            </w:tcBorders>
            <w:shd w:val="clear" w:color="auto" w:fill="auto"/>
            <w:noWrap/>
            <w:hideMark/>
          </w:tcPr>
          <w:p w14:paraId="7B693834"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0.324</w:t>
            </w:r>
          </w:p>
        </w:tc>
        <w:tc>
          <w:tcPr>
            <w:tcW w:w="1134" w:type="dxa"/>
            <w:tcBorders>
              <w:top w:val="nil"/>
              <w:left w:val="nil"/>
              <w:bottom w:val="single" w:sz="4" w:space="0" w:color="auto"/>
              <w:right w:val="single" w:sz="4" w:space="0" w:color="auto"/>
            </w:tcBorders>
            <w:shd w:val="clear" w:color="auto" w:fill="auto"/>
            <w:noWrap/>
            <w:hideMark/>
          </w:tcPr>
          <w:p w14:paraId="0E9E0A25"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2.254</w:t>
            </w:r>
          </w:p>
        </w:tc>
        <w:tc>
          <w:tcPr>
            <w:tcW w:w="1203" w:type="dxa"/>
            <w:tcBorders>
              <w:top w:val="nil"/>
              <w:left w:val="nil"/>
              <w:bottom w:val="single" w:sz="4" w:space="0" w:color="auto"/>
              <w:right w:val="single" w:sz="4" w:space="0" w:color="auto"/>
            </w:tcBorders>
            <w:shd w:val="clear" w:color="auto" w:fill="auto"/>
            <w:noWrap/>
            <w:hideMark/>
          </w:tcPr>
          <w:p w14:paraId="5FF7EC9B"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4.320</w:t>
            </w:r>
          </w:p>
        </w:tc>
        <w:tc>
          <w:tcPr>
            <w:tcW w:w="1203" w:type="dxa"/>
            <w:tcBorders>
              <w:top w:val="nil"/>
              <w:left w:val="nil"/>
              <w:bottom w:val="single" w:sz="4" w:space="0" w:color="auto"/>
              <w:right w:val="nil"/>
            </w:tcBorders>
          </w:tcPr>
          <w:p w14:paraId="453CD4DE"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101.211</w:t>
            </w:r>
          </w:p>
        </w:tc>
        <w:tc>
          <w:tcPr>
            <w:tcW w:w="236" w:type="dxa"/>
            <w:tcBorders>
              <w:top w:val="nil"/>
              <w:left w:val="nil"/>
              <w:bottom w:val="single" w:sz="4" w:space="0" w:color="auto"/>
              <w:right w:val="single" w:sz="4" w:space="0" w:color="auto"/>
            </w:tcBorders>
          </w:tcPr>
          <w:p w14:paraId="49BF2B54" w14:textId="77777777" w:rsidR="00A9501F" w:rsidRPr="00B465BC" w:rsidRDefault="00A9501F" w:rsidP="008B5134">
            <w:pPr>
              <w:spacing w:line="240" w:lineRule="auto"/>
              <w:jc w:val="center"/>
              <w:rPr>
                <w:rFonts w:eastAsia="Times New Roman" w:cs="Arial"/>
                <w:color w:val="000000"/>
                <w:lang w:eastAsia="zh-CN"/>
              </w:rPr>
            </w:pPr>
          </w:p>
        </w:tc>
      </w:tr>
      <w:tr w:rsidR="00A9501F" w:rsidRPr="00A10041" w14:paraId="6F9FD954"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5A14B91E"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2010</w:t>
            </w:r>
          </w:p>
        </w:tc>
        <w:tc>
          <w:tcPr>
            <w:tcW w:w="1134" w:type="dxa"/>
            <w:tcBorders>
              <w:top w:val="nil"/>
              <w:left w:val="nil"/>
              <w:bottom w:val="single" w:sz="4" w:space="0" w:color="auto"/>
              <w:right w:val="single" w:sz="4" w:space="0" w:color="auto"/>
            </w:tcBorders>
            <w:shd w:val="clear" w:color="auto" w:fill="auto"/>
            <w:noWrap/>
            <w:hideMark/>
          </w:tcPr>
          <w:p w14:paraId="680E87F7"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0.168</w:t>
            </w:r>
          </w:p>
        </w:tc>
        <w:tc>
          <w:tcPr>
            <w:tcW w:w="1134" w:type="dxa"/>
            <w:tcBorders>
              <w:top w:val="nil"/>
              <w:left w:val="nil"/>
              <w:bottom w:val="single" w:sz="4" w:space="0" w:color="auto"/>
              <w:right w:val="single" w:sz="4" w:space="0" w:color="auto"/>
            </w:tcBorders>
            <w:shd w:val="clear" w:color="auto" w:fill="auto"/>
            <w:noWrap/>
            <w:hideMark/>
          </w:tcPr>
          <w:p w14:paraId="1083074B"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1.3</w:t>
            </w:r>
            <w:r>
              <w:rPr>
                <w:rFonts w:eastAsia="Times New Roman" w:cs="Arial"/>
                <w:color w:val="000000"/>
                <w:lang w:eastAsia="zh-CN"/>
              </w:rPr>
              <w:t>60</w:t>
            </w:r>
          </w:p>
        </w:tc>
        <w:tc>
          <w:tcPr>
            <w:tcW w:w="1203" w:type="dxa"/>
            <w:tcBorders>
              <w:top w:val="nil"/>
              <w:left w:val="nil"/>
              <w:bottom w:val="single" w:sz="4" w:space="0" w:color="auto"/>
              <w:right w:val="single" w:sz="4" w:space="0" w:color="auto"/>
            </w:tcBorders>
            <w:shd w:val="clear" w:color="auto" w:fill="auto"/>
            <w:noWrap/>
            <w:hideMark/>
          </w:tcPr>
          <w:p w14:paraId="0DBB85B1"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3.509</w:t>
            </w:r>
          </w:p>
        </w:tc>
        <w:tc>
          <w:tcPr>
            <w:tcW w:w="1203" w:type="dxa"/>
            <w:tcBorders>
              <w:top w:val="nil"/>
              <w:left w:val="nil"/>
              <w:bottom w:val="single" w:sz="4" w:space="0" w:color="auto"/>
              <w:right w:val="nil"/>
            </w:tcBorders>
          </w:tcPr>
          <w:p w14:paraId="6E0488AD"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56.644</w:t>
            </w:r>
          </w:p>
        </w:tc>
        <w:tc>
          <w:tcPr>
            <w:tcW w:w="236" w:type="dxa"/>
            <w:tcBorders>
              <w:top w:val="nil"/>
              <w:left w:val="nil"/>
              <w:bottom w:val="single" w:sz="4" w:space="0" w:color="auto"/>
              <w:right w:val="single" w:sz="4" w:space="0" w:color="auto"/>
            </w:tcBorders>
          </w:tcPr>
          <w:p w14:paraId="3EFC4996" w14:textId="77777777" w:rsidR="00A9501F" w:rsidRPr="00B465BC" w:rsidRDefault="00A9501F" w:rsidP="008B5134">
            <w:pPr>
              <w:spacing w:line="240" w:lineRule="auto"/>
              <w:jc w:val="center"/>
              <w:rPr>
                <w:rFonts w:eastAsia="Times New Roman" w:cs="Arial"/>
                <w:color w:val="000000"/>
                <w:lang w:eastAsia="zh-CN"/>
              </w:rPr>
            </w:pPr>
          </w:p>
        </w:tc>
      </w:tr>
      <w:tr w:rsidR="00A9501F" w:rsidRPr="00A10041" w14:paraId="31DD3AA4"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6261638D"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2020</w:t>
            </w:r>
          </w:p>
        </w:tc>
        <w:tc>
          <w:tcPr>
            <w:tcW w:w="1134" w:type="dxa"/>
            <w:tcBorders>
              <w:top w:val="nil"/>
              <w:left w:val="nil"/>
              <w:bottom w:val="single" w:sz="4" w:space="0" w:color="auto"/>
              <w:right w:val="single" w:sz="4" w:space="0" w:color="auto"/>
            </w:tcBorders>
            <w:shd w:val="clear" w:color="auto" w:fill="auto"/>
            <w:noWrap/>
            <w:hideMark/>
          </w:tcPr>
          <w:p w14:paraId="4D34F1C3"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0.0583</w:t>
            </w:r>
          </w:p>
        </w:tc>
        <w:tc>
          <w:tcPr>
            <w:tcW w:w="1134" w:type="dxa"/>
            <w:tcBorders>
              <w:top w:val="nil"/>
              <w:left w:val="nil"/>
              <w:bottom w:val="single" w:sz="4" w:space="0" w:color="auto"/>
              <w:right w:val="single" w:sz="4" w:space="0" w:color="auto"/>
            </w:tcBorders>
            <w:shd w:val="clear" w:color="auto" w:fill="auto"/>
            <w:noWrap/>
            <w:hideMark/>
          </w:tcPr>
          <w:p w14:paraId="032BA201"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0.59</w:t>
            </w:r>
            <w:r>
              <w:rPr>
                <w:rFonts w:eastAsia="Times New Roman" w:cs="Arial"/>
                <w:color w:val="000000"/>
                <w:lang w:eastAsia="zh-CN"/>
              </w:rPr>
              <w:t>2</w:t>
            </w:r>
          </w:p>
        </w:tc>
        <w:tc>
          <w:tcPr>
            <w:tcW w:w="1203" w:type="dxa"/>
            <w:tcBorders>
              <w:top w:val="nil"/>
              <w:left w:val="nil"/>
              <w:bottom w:val="single" w:sz="4" w:space="0" w:color="auto"/>
              <w:right w:val="single" w:sz="4" w:space="0" w:color="auto"/>
            </w:tcBorders>
            <w:shd w:val="clear" w:color="auto" w:fill="auto"/>
            <w:noWrap/>
            <w:hideMark/>
          </w:tcPr>
          <w:p w14:paraId="3BF2C3E0"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2.776</w:t>
            </w:r>
          </w:p>
        </w:tc>
        <w:tc>
          <w:tcPr>
            <w:tcW w:w="1203" w:type="dxa"/>
            <w:tcBorders>
              <w:top w:val="nil"/>
              <w:left w:val="nil"/>
              <w:bottom w:val="single" w:sz="4" w:space="0" w:color="auto"/>
              <w:right w:val="nil"/>
            </w:tcBorders>
          </w:tcPr>
          <w:p w14:paraId="6B51351A"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27.752</w:t>
            </w:r>
          </w:p>
        </w:tc>
        <w:tc>
          <w:tcPr>
            <w:tcW w:w="236" w:type="dxa"/>
            <w:tcBorders>
              <w:top w:val="nil"/>
              <w:left w:val="nil"/>
              <w:bottom w:val="single" w:sz="4" w:space="0" w:color="auto"/>
              <w:right w:val="single" w:sz="4" w:space="0" w:color="auto"/>
            </w:tcBorders>
          </w:tcPr>
          <w:p w14:paraId="256F174A" w14:textId="77777777" w:rsidR="00A9501F" w:rsidRPr="00B465BC" w:rsidRDefault="00A9501F" w:rsidP="008B5134">
            <w:pPr>
              <w:spacing w:line="240" w:lineRule="auto"/>
              <w:jc w:val="center"/>
              <w:rPr>
                <w:rFonts w:eastAsia="Times New Roman" w:cs="Arial"/>
                <w:color w:val="000000"/>
                <w:lang w:eastAsia="zh-CN"/>
              </w:rPr>
            </w:pPr>
          </w:p>
        </w:tc>
      </w:tr>
    </w:tbl>
    <w:p w14:paraId="0F1F675E" w14:textId="77777777" w:rsidR="00A9501F" w:rsidRDefault="00A9501F" w:rsidP="00A9501F">
      <w:pPr>
        <w:jc w:val="both"/>
        <w:rPr>
          <w:rFonts w:cs="Arial"/>
        </w:rPr>
      </w:pPr>
    </w:p>
    <w:p w14:paraId="42CD470F" w14:textId="267B771A" w:rsidR="00A9501F" w:rsidRDefault="00A9501F" w:rsidP="00A9501F">
      <w:pPr>
        <w:jc w:val="both"/>
        <w:rPr>
          <w:rFonts w:cs="Arial"/>
        </w:rPr>
      </w:pPr>
      <w:r>
        <w:rPr>
          <w:rFonts w:cs="Arial"/>
        </w:rPr>
        <w:t xml:space="preserve">The table shows the ESR for all levels of HQA in the paper. The ESR for the primary (and below) HQA level starts off at 0.391 in 1970, rises to 0.539 in 1980 and declines thereafter, ending at 0.058. The ESR for Secondary HQA level starts off at 0.852, rises to 2.254 in 2000 and ends at 0.592 in 2020. The ESR for Post-Secondary HQA level starts off at 8.782 and ends at 2.776. The University HQA level starts off at 43.642 in 1970, rises to 101.214 in 2000 and declines to 28.71 in 2020. </w:t>
      </w:r>
    </w:p>
    <w:p w14:paraId="6994F783" w14:textId="77777777" w:rsidR="00A9501F" w:rsidRDefault="00A9501F" w:rsidP="00A9501F">
      <w:pPr>
        <w:jc w:val="both"/>
        <w:rPr>
          <w:rFonts w:cs="Arial"/>
        </w:rPr>
      </w:pPr>
    </w:p>
    <w:p w14:paraId="582BCFFB" w14:textId="12E838FB" w:rsidR="00A9501F" w:rsidRDefault="00A9501F" w:rsidP="00A9501F">
      <w:pPr>
        <w:jc w:val="both"/>
        <w:rPr>
          <w:rFonts w:cs="Arial"/>
        </w:rPr>
      </w:pPr>
      <w:r>
        <w:rPr>
          <w:rFonts w:cs="Arial"/>
        </w:rPr>
        <w:t xml:space="preserve">With these findings alone, the contribution of the education to the overall lifecycle deficit on a historical basis is clear. Despite an ageing population, Singapore’s ESR remained above 1 owing to the proportion of resident population with higher qualifications. </w:t>
      </w:r>
    </w:p>
    <w:p w14:paraId="71DEA73C" w14:textId="77777777" w:rsidR="00A9501F" w:rsidRDefault="00A9501F" w:rsidP="00A9501F">
      <w:pPr>
        <w:jc w:val="both"/>
        <w:rPr>
          <w:rFonts w:cs="Arial"/>
        </w:rPr>
      </w:pPr>
    </w:p>
    <w:p w14:paraId="23D6BF9B" w14:textId="77777777" w:rsidR="00A9501F" w:rsidRDefault="00A9501F" w:rsidP="00A9501F">
      <w:pPr>
        <w:jc w:val="both"/>
        <w:rPr>
          <w:rFonts w:cs="Arial"/>
        </w:rPr>
      </w:pPr>
      <w:r>
        <w:rPr>
          <w:rFonts w:cs="Arial"/>
        </w:rPr>
        <w:t>Following the Das Gupta decomposition, we arrive at the results below:</w:t>
      </w:r>
    </w:p>
    <w:p w14:paraId="0081549C" w14:textId="77777777" w:rsidR="00A9501F" w:rsidRDefault="00A9501F" w:rsidP="00745C53">
      <w:pPr>
        <w:rPr>
          <w:rFonts w:cs="Arial"/>
        </w:rPr>
      </w:pPr>
      <w:r>
        <w:rPr>
          <w:noProof/>
        </w:rPr>
        <w:drawing>
          <wp:inline distT="0" distB="0" distL="0" distR="0" wp14:anchorId="7D6B784A" wp14:editId="05924DD2">
            <wp:extent cx="4471987" cy="2743200"/>
            <wp:effectExtent l="0" t="0" r="11430" b="12700"/>
            <wp:docPr id="11" name="Chart 11">
              <a:extLst xmlns:a="http://schemas.openxmlformats.org/drawingml/2006/main">
                <a:ext uri="{FF2B5EF4-FFF2-40B4-BE49-F238E27FC236}">
                  <a16:creationId xmlns:a16="http://schemas.microsoft.com/office/drawing/2014/main" id="{6A490CAF-A68B-450E-8569-90FEA44C7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979A18" w14:textId="135C5DF8" w:rsidR="00A9501F" w:rsidRPr="00745C53" w:rsidRDefault="00745C53" w:rsidP="00745C53">
      <w:pPr>
        <w:rPr>
          <w:rFonts w:cs="Arial"/>
          <w:b/>
          <w:bCs/>
        </w:rPr>
      </w:pPr>
      <w:r>
        <w:rPr>
          <w:rFonts w:cs="Arial"/>
          <w:b/>
          <w:bCs/>
        </w:rPr>
        <w:t>Table 5: Age and Education Contribution over Time</w:t>
      </w:r>
    </w:p>
    <w:tbl>
      <w:tblPr>
        <w:tblW w:w="4390" w:type="dxa"/>
        <w:tblLook w:val="04A0" w:firstRow="1" w:lastRow="0" w:firstColumn="1" w:lastColumn="0" w:noHBand="0" w:noVBand="1"/>
      </w:tblPr>
      <w:tblGrid>
        <w:gridCol w:w="1060"/>
        <w:gridCol w:w="1345"/>
        <w:gridCol w:w="1985"/>
      </w:tblGrid>
      <w:tr w:rsidR="00A9501F" w:rsidRPr="00822D74" w14:paraId="00C0627B" w14:textId="77777777" w:rsidTr="008B5134">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5EFF781D" w14:textId="1B9D2FE4" w:rsidR="00A9501F" w:rsidRPr="008B5134" w:rsidRDefault="00745C53" w:rsidP="008B5134">
            <w:pPr>
              <w:spacing w:line="240" w:lineRule="auto"/>
              <w:jc w:val="center"/>
              <w:rPr>
                <w:rFonts w:eastAsia="Times New Roman" w:cs="Arial"/>
                <w:color w:val="000000"/>
                <w:lang w:eastAsia="zh-CN"/>
              </w:rPr>
            </w:pPr>
            <w:r w:rsidRPr="008B5134">
              <w:rPr>
                <w:rFonts w:eastAsia="Times New Roman" w:cs="Arial"/>
                <w:color w:val="000000"/>
                <w:lang w:eastAsia="zh-CN"/>
              </w:rPr>
              <w:t>Decade</w:t>
            </w:r>
          </w:p>
        </w:tc>
        <w:tc>
          <w:tcPr>
            <w:tcW w:w="1345" w:type="dxa"/>
            <w:tcBorders>
              <w:top w:val="single" w:sz="4" w:space="0" w:color="auto"/>
              <w:left w:val="nil"/>
              <w:bottom w:val="single" w:sz="4" w:space="0" w:color="auto"/>
              <w:right w:val="single" w:sz="4" w:space="0" w:color="auto"/>
            </w:tcBorders>
            <w:shd w:val="clear" w:color="auto" w:fill="auto"/>
            <w:noWrap/>
            <w:hideMark/>
          </w:tcPr>
          <w:p w14:paraId="09AFDD69" w14:textId="77777777" w:rsidR="00A9501F" w:rsidRPr="008B5134" w:rsidRDefault="00A9501F" w:rsidP="008B5134">
            <w:pPr>
              <w:spacing w:line="240" w:lineRule="auto"/>
              <w:jc w:val="center"/>
              <w:rPr>
                <w:rFonts w:eastAsia="Times New Roman" w:cs="Arial"/>
                <w:color w:val="000000"/>
                <w:lang w:eastAsia="zh-CN"/>
              </w:rPr>
            </w:pPr>
            <w:r w:rsidRPr="008B5134">
              <w:rPr>
                <w:rFonts w:eastAsia="Times New Roman" w:cs="Arial"/>
                <w:color w:val="000000"/>
                <w:lang w:eastAsia="zh-CN"/>
              </w:rPr>
              <w:t>Age Effect</w:t>
            </w:r>
          </w:p>
        </w:tc>
        <w:tc>
          <w:tcPr>
            <w:tcW w:w="1985" w:type="dxa"/>
            <w:tcBorders>
              <w:top w:val="single" w:sz="4" w:space="0" w:color="auto"/>
              <w:left w:val="nil"/>
              <w:bottom w:val="single" w:sz="4" w:space="0" w:color="auto"/>
              <w:right w:val="single" w:sz="4" w:space="0" w:color="auto"/>
            </w:tcBorders>
            <w:shd w:val="clear" w:color="auto" w:fill="auto"/>
            <w:noWrap/>
            <w:hideMark/>
          </w:tcPr>
          <w:p w14:paraId="3ACDB5B3" w14:textId="77777777" w:rsidR="00A9501F" w:rsidRPr="008B5134" w:rsidRDefault="00A9501F" w:rsidP="008B5134">
            <w:pPr>
              <w:spacing w:line="240" w:lineRule="auto"/>
              <w:jc w:val="center"/>
              <w:rPr>
                <w:rFonts w:eastAsia="Times New Roman" w:cs="Arial"/>
                <w:color w:val="000000"/>
                <w:lang w:eastAsia="zh-CN"/>
              </w:rPr>
            </w:pPr>
            <w:r w:rsidRPr="008B5134">
              <w:rPr>
                <w:rFonts w:eastAsia="Times New Roman" w:cs="Arial"/>
                <w:color w:val="000000"/>
                <w:lang w:eastAsia="zh-CN"/>
              </w:rPr>
              <w:t>Education Effect</w:t>
            </w:r>
          </w:p>
        </w:tc>
      </w:tr>
      <w:tr w:rsidR="00A9501F" w:rsidRPr="00822D74" w14:paraId="369FFECF"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6F8EC2FA"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1980</w:t>
            </w:r>
          </w:p>
        </w:tc>
        <w:tc>
          <w:tcPr>
            <w:tcW w:w="1345" w:type="dxa"/>
            <w:tcBorders>
              <w:top w:val="nil"/>
              <w:left w:val="nil"/>
              <w:bottom w:val="single" w:sz="4" w:space="0" w:color="auto"/>
              <w:right w:val="single" w:sz="4" w:space="0" w:color="auto"/>
            </w:tcBorders>
            <w:shd w:val="clear" w:color="auto" w:fill="auto"/>
            <w:noWrap/>
            <w:hideMark/>
          </w:tcPr>
          <w:p w14:paraId="52DAD6CC"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0.4</w:t>
            </w:r>
            <w:r>
              <w:rPr>
                <w:rFonts w:eastAsia="Times New Roman" w:cs="Arial"/>
                <w:color w:val="000000"/>
                <w:lang w:eastAsia="zh-CN"/>
              </w:rPr>
              <w:t>60</w:t>
            </w:r>
          </w:p>
        </w:tc>
        <w:tc>
          <w:tcPr>
            <w:tcW w:w="1985" w:type="dxa"/>
            <w:tcBorders>
              <w:top w:val="nil"/>
              <w:left w:val="nil"/>
              <w:bottom w:val="single" w:sz="4" w:space="0" w:color="auto"/>
              <w:right w:val="single" w:sz="4" w:space="0" w:color="auto"/>
            </w:tcBorders>
            <w:shd w:val="clear" w:color="auto" w:fill="auto"/>
            <w:noWrap/>
            <w:hideMark/>
          </w:tcPr>
          <w:p w14:paraId="306F3DBB"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0.540</w:t>
            </w:r>
          </w:p>
        </w:tc>
      </w:tr>
      <w:tr w:rsidR="00A9501F" w:rsidRPr="00822D74" w14:paraId="36B33E58"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32FF16CE"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1990</w:t>
            </w:r>
          </w:p>
        </w:tc>
        <w:tc>
          <w:tcPr>
            <w:tcW w:w="1345" w:type="dxa"/>
            <w:tcBorders>
              <w:top w:val="nil"/>
              <w:left w:val="nil"/>
              <w:bottom w:val="single" w:sz="4" w:space="0" w:color="auto"/>
              <w:right w:val="single" w:sz="4" w:space="0" w:color="auto"/>
            </w:tcBorders>
            <w:shd w:val="clear" w:color="auto" w:fill="auto"/>
            <w:noWrap/>
            <w:hideMark/>
          </w:tcPr>
          <w:p w14:paraId="7F1A9ADF"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0.485</w:t>
            </w:r>
          </w:p>
        </w:tc>
        <w:tc>
          <w:tcPr>
            <w:tcW w:w="1985" w:type="dxa"/>
            <w:tcBorders>
              <w:top w:val="nil"/>
              <w:left w:val="nil"/>
              <w:bottom w:val="single" w:sz="4" w:space="0" w:color="auto"/>
              <w:right w:val="single" w:sz="4" w:space="0" w:color="auto"/>
            </w:tcBorders>
            <w:shd w:val="clear" w:color="auto" w:fill="auto"/>
            <w:noWrap/>
            <w:hideMark/>
          </w:tcPr>
          <w:p w14:paraId="3AB46C80"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0.51</w:t>
            </w:r>
            <w:r>
              <w:rPr>
                <w:rFonts w:eastAsia="Times New Roman" w:cs="Arial"/>
                <w:color w:val="000000"/>
                <w:lang w:eastAsia="zh-CN"/>
              </w:rPr>
              <w:t>5</w:t>
            </w:r>
          </w:p>
        </w:tc>
      </w:tr>
      <w:tr w:rsidR="00A9501F" w:rsidRPr="00822D74" w14:paraId="354ACD35"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156B99A0"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2000</w:t>
            </w:r>
          </w:p>
        </w:tc>
        <w:tc>
          <w:tcPr>
            <w:tcW w:w="1345" w:type="dxa"/>
            <w:tcBorders>
              <w:top w:val="nil"/>
              <w:left w:val="nil"/>
              <w:bottom w:val="single" w:sz="4" w:space="0" w:color="auto"/>
              <w:right w:val="single" w:sz="4" w:space="0" w:color="auto"/>
            </w:tcBorders>
            <w:shd w:val="clear" w:color="auto" w:fill="auto"/>
            <w:noWrap/>
            <w:hideMark/>
          </w:tcPr>
          <w:p w14:paraId="5BF158EE"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0.392</w:t>
            </w:r>
          </w:p>
        </w:tc>
        <w:tc>
          <w:tcPr>
            <w:tcW w:w="1985" w:type="dxa"/>
            <w:tcBorders>
              <w:top w:val="nil"/>
              <w:left w:val="nil"/>
              <w:bottom w:val="single" w:sz="4" w:space="0" w:color="auto"/>
              <w:right w:val="single" w:sz="4" w:space="0" w:color="auto"/>
            </w:tcBorders>
            <w:shd w:val="clear" w:color="auto" w:fill="auto"/>
            <w:noWrap/>
            <w:hideMark/>
          </w:tcPr>
          <w:p w14:paraId="54ED7914"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0.60</w:t>
            </w:r>
            <w:r>
              <w:rPr>
                <w:rFonts w:eastAsia="Times New Roman" w:cs="Arial"/>
                <w:color w:val="000000"/>
                <w:lang w:eastAsia="zh-CN"/>
              </w:rPr>
              <w:t>8</w:t>
            </w:r>
          </w:p>
        </w:tc>
      </w:tr>
      <w:tr w:rsidR="00A9501F" w:rsidRPr="00822D74" w14:paraId="44A95750"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11AF3509"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2010</w:t>
            </w:r>
          </w:p>
        </w:tc>
        <w:tc>
          <w:tcPr>
            <w:tcW w:w="1345" w:type="dxa"/>
            <w:tcBorders>
              <w:top w:val="nil"/>
              <w:left w:val="nil"/>
              <w:bottom w:val="single" w:sz="4" w:space="0" w:color="auto"/>
              <w:right w:val="single" w:sz="4" w:space="0" w:color="auto"/>
            </w:tcBorders>
            <w:shd w:val="clear" w:color="auto" w:fill="auto"/>
            <w:noWrap/>
            <w:hideMark/>
          </w:tcPr>
          <w:p w14:paraId="09925864"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0.450</w:t>
            </w:r>
          </w:p>
        </w:tc>
        <w:tc>
          <w:tcPr>
            <w:tcW w:w="1985" w:type="dxa"/>
            <w:tcBorders>
              <w:top w:val="nil"/>
              <w:left w:val="nil"/>
              <w:bottom w:val="single" w:sz="4" w:space="0" w:color="auto"/>
              <w:right w:val="single" w:sz="4" w:space="0" w:color="auto"/>
            </w:tcBorders>
            <w:shd w:val="clear" w:color="auto" w:fill="auto"/>
            <w:noWrap/>
            <w:hideMark/>
          </w:tcPr>
          <w:p w14:paraId="4E5597B2"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0.5</w:t>
            </w:r>
            <w:r>
              <w:rPr>
                <w:rFonts w:eastAsia="Times New Roman" w:cs="Arial"/>
                <w:color w:val="000000"/>
                <w:lang w:eastAsia="zh-CN"/>
              </w:rPr>
              <w:t>50</w:t>
            </w:r>
          </w:p>
        </w:tc>
      </w:tr>
      <w:tr w:rsidR="00A9501F" w:rsidRPr="00822D74" w14:paraId="580565D4" w14:textId="77777777" w:rsidTr="008B5134">
        <w:trPr>
          <w:trHeight w:val="300"/>
        </w:trPr>
        <w:tc>
          <w:tcPr>
            <w:tcW w:w="1060" w:type="dxa"/>
            <w:tcBorders>
              <w:top w:val="nil"/>
              <w:left w:val="single" w:sz="4" w:space="0" w:color="auto"/>
              <w:bottom w:val="single" w:sz="4" w:space="0" w:color="auto"/>
              <w:right w:val="single" w:sz="4" w:space="0" w:color="auto"/>
            </w:tcBorders>
            <w:shd w:val="clear" w:color="auto" w:fill="auto"/>
            <w:noWrap/>
            <w:hideMark/>
          </w:tcPr>
          <w:p w14:paraId="2F877520"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2020</w:t>
            </w:r>
          </w:p>
        </w:tc>
        <w:tc>
          <w:tcPr>
            <w:tcW w:w="1345" w:type="dxa"/>
            <w:tcBorders>
              <w:top w:val="nil"/>
              <w:left w:val="nil"/>
              <w:bottom w:val="single" w:sz="4" w:space="0" w:color="auto"/>
              <w:right w:val="single" w:sz="4" w:space="0" w:color="auto"/>
            </w:tcBorders>
            <w:shd w:val="clear" w:color="auto" w:fill="auto"/>
            <w:noWrap/>
            <w:hideMark/>
          </w:tcPr>
          <w:p w14:paraId="7AA51707"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0.452</w:t>
            </w:r>
          </w:p>
        </w:tc>
        <w:tc>
          <w:tcPr>
            <w:tcW w:w="1985" w:type="dxa"/>
            <w:tcBorders>
              <w:top w:val="nil"/>
              <w:left w:val="nil"/>
              <w:bottom w:val="single" w:sz="4" w:space="0" w:color="auto"/>
              <w:right w:val="single" w:sz="4" w:space="0" w:color="auto"/>
            </w:tcBorders>
            <w:shd w:val="clear" w:color="auto" w:fill="auto"/>
            <w:noWrap/>
            <w:hideMark/>
          </w:tcPr>
          <w:p w14:paraId="2A714F8C" w14:textId="77777777" w:rsidR="00A9501F" w:rsidRPr="00B465BC" w:rsidRDefault="00A9501F" w:rsidP="008B5134">
            <w:pPr>
              <w:spacing w:line="240" w:lineRule="auto"/>
              <w:jc w:val="center"/>
              <w:rPr>
                <w:rFonts w:eastAsia="Times New Roman" w:cs="Arial"/>
                <w:color w:val="000000"/>
                <w:lang w:eastAsia="zh-CN"/>
              </w:rPr>
            </w:pPr>
            <w:r w:rsidRPr="00B465BC">
              <w:rPr>
                <w:rFonts w:eastAsia="Times New Roman" w:cs="Arial"/>
                <w:color w:val="000000"/>
                <w:lang w:eastAsia="zh-CN"/>
              </w:rPr>
              <w:t>0.54</w:t>
            </w:r>
            <w:r>
              <w:rPr>
                <w:rFonts w:eastAsia="Times New Roman" w:cs="Arial"/>
                <w:color w:val="000000"/>
                <w:lang w:eastAsia="zh-CN"/>
              </w:rPr>
              <w:t>8</w:t>
            </w:r>
          </w:p>
        </w:tc>
      </w:tr>
    </w:tbl>
    <w:p w14:paraId="62206A27" w14:textId="77777777" w:rsidR="00A9501F" w:rsidRDefault="00A9501F" w:rsidP="00A9501F">
      <w:pPr>
        <w:jc w:val="both"/>
        <w:rPr>
          <w:rFonts w:cs="Arial"/>
        </w:rPr>
      </w:pPr>
    </w:p>
    <w:p w14:paraId="109548D7" w14:textId="17736A3C" w:rsidR="00A9501F" w:rsidRDefault="00A9501F" w:rsidP="00A9501F">
      <w:pPr>
        <w:jc w:val="both"/>
        <w:rPr>
          <w:rFonts w:cs="Arial"/>
        </w:rPr>
      </w:pPr>
      <w:r>
        <w:rPr>
          <w:noProof/>
        </w:rPr>
        <w:lastRenderedPageBreak/>
        <w:drawing>
          <wp:inline distT="0" distB="0" distL="0" distR="0" wp14:anchorId="5C4E121B" wp14:editId="19A9E76B">
            <wp:extent cx="5731510" cy="2665730"/>
            <wp:effectExtent l="0" t="0" r="8890" b="13970"/>
            <wp:docPr id="12" name="Chart 12">
              <a:extLst xmlns:a="http://schemas.openxmlformats.org/drawingml/2006/main">
                <a:ext uri="{FF2B5EF4-FFF2-40B4-BE49-F238E27FC236}">
                  <a16:creationId xmlns:a16="http://schemas.microsoft.com/office/drawing/2014/main" id="{9AF0E5B1-B7EC-4938-BB9A-14DC7E21C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BF3AC4" w14:textId="7368E692" w:rsidR="00745C53" w:rsidRPr="00745C53" w:rsidRDefault="00745C53" w:rsidP="00A9501F">
      <w:pPr>
        <w:jc w:val="both"/>
        <w:rPr>
          <w:rFonts w:cs="Arial"/>
          <w:b/>
          <w:bCs/>
        </w:rPr>
      </w:pPr>
      <w:r>
        <w:rPr>
          <w:rFonts w:cs="Arial"/>
          <w:b/>
          <w:bCs/>
        </w:rPr>
        <w:t>Table 10: Contribution to Education Effect by Highest Qualification Attained and Decade</w:t>
      </w:r>
    </w:p>
    <w:tbl>
      <w:tblPr>
        <w:tblW w:w="6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64"/>
        <w:gridCol w:w="1364"/>
        <w:gridCol w:w="1320"/>
      </w:tblGrid>
      <w:tr w:rsidR="00A9501F" w:rsidRPr="00D936F6" w14:paraId="4A396761" w14:textId="77777777" w:rsidTr="006F037C">
        <w:trPr>
          <w:trHeight w:val="315"/>
        </w:trPr>
        <w:tc>
          <w:tcPr>
            <w:tcW w:w="1320" w:type="dxa"/>
            <w:shd w:val="clear" w:color="auto" w:fill="auto"/>
            <w:noWrap/>
            <w:hideMark/>
          </w:tcPr>
          <w:p w14:paraId="4A181E72" w14:textId="7EC645DF" w:rsidR="00A9501F" w:rsidRPr="00D936F6" w:rsidRDefault="00745C53" w:rsidP="006F037C">
            <w:pPr>
              <w:spacing w:line="240" w:lineRule="auto"/>
              <w:jc w:val="center"/>
              <w:rPr>
                <w:rFonts w:eastAsia="Times New Roman" w:cs="Arial"/>
                <w:szCs w:val="24"/>
                <w:lang w:eastAsia="zh-CN"/>
              </w:rPr>
            </w:pPr>
            <w:r>
              <w:rPr>
                <w:rFonts w:eastAsia="Times New Roman" w:cs="Arial"/>
                <w:szCs w:val="24"/>
                <w:lang w:eastAsia="zh-CN"/>
              </w:rPr>
              <w:t>Decade</w:t>
            </w:r>
          </w:p>
        </w:tc>
        <w:tc>
          <w:tcPr>
            <w:tcW w:w="1320" w:type="dxa"/>
            <w:shd w:val="clear" w:color="auto" w:fill="auto"/>
            <w:noWrap/>
            <w:hideMark/>
          </w:tcPr>
          <w:p w14:paraId="1A54DA0D" w14:textId="77777777" w:rsidR="00A9501F" w:rsidRPr="00745C53" w:rsidRDefault="00A9501F" w:rsidP="006F037C">
            <w:pPr>
              <w:spacing w:line="240" w:lineRule="auto"/>
              <w:jc w:val="center"/>
              <w:rPr>
                <w:rFonts w:eastAsia="Times New Roman" w:cs="Arial"/>
                <w:bCs/>
                <w:color w:val="000000"/>
                <w:szCs w:val="24"/>
                <w:lang w:eastAsia="zh-CN"/>
              </w:rPr>
            </w:pPr>
            <w:r w:rsidRPr="00745C53">
              <w:rPr>
                <w:rFonts w:eastAsia="Times New Roman" w:cs="Arial"/>
                <w:bCs/>
                <w:color w:val="000000"/>
                <w:lang w:eastAsia="zh-CN"/>
              </w:rPr>
              <w:t>Primary</w:t>
            </w:r>
          </w:p>
        </w:tc>
        <w:tc>
          <w:tcPr>
            <w:tcW w:w="1320" w:type="dxa"/>
            <w:shd w:val="clear" w:color="auto" w:fill="auto"/>
            <w:noWrap/>
            <w:hideMark/>
          </w:tcPr>
          <w:p w14:paraId="443DE802" w14:textId="77777777" w:rsidR="00A9501F" w:rsidRPr="00745C53" w:rsidRDefault="00A9501F" w:rsidP="006F037C">
            <w:pPr>
              <w:spacing w:line="240" w:lineRule="auto"/>
              <w:jc w:val="center"/>
              <w:rPr>
                <w:rFonts w:eastAsia="Times New Roman" w:cs="Arial"/>
                <w:bCs/>
                <w:color w:val="000000"/>
                <w:szCs w:val="24"/>
                <w:lang w:eastAsia="zh-CN"/>
              </w:rPr>
            </w:pPr>
            <w:r w:rsidRPr="00745C53">
              <w:rPr>
                <w:rFonts w:eastAsia="Times New Roman" w:cs="Arial"/>
                <w:bCs/>
                <w:color w:val="000000"/>
                <w:lang w:eastAsia="zh-CN"/>
              </w:rPr>
              <w:t>Secondary</w:t>
            </w:r>
          </w:p>
        </w:tc>
        <w:tc>
          <w:tcPr>
            <w:tcW w:w="1320" w:type="dxa"/>
            <w:shd w:val="clear" w:color="auto" w:fill="auto"/>
            <w:noWrap/>
            <w:hideMark/>
          </w:tcPr>
          <w:p w14:paraId="15FA72EA" w14:textId="77777777" w:rsidR="00A9501F" w:rsidRPr="00745C53" w:rsidRDefault="00A9501F" w:rsidP="006F037C">
            <w:pPr>
              <w:spacing w:line="240" w:lineRule="auto"/>
              <w:jc w:val="center"/>
              <w:rPr>
                <w:rFonts w:eastAsia="Times New Roman" w:cs="Arial"/>
                <w:bCs/>
                <w:color w:val="000000"/>
                <w:szCs w:val="24"/>
                <w:lang w:eastAsia="zh-CN"/>
              </w:rPr>
            </w:pPr>
            <w:r w:rsidRPr="00745C53">
              <w:rPr>
                <w:rFonts w:eastAsia="Times New Roman" w:cs="Arial"/>
                <w:bCs/>
                <w:color w:val="000000"/>
                <w:lang w:eastAsia="zh-CN"/>
              </w:rPr>
              <w:t>Post-Secondary</w:t>
            </w:r>
          </w:p>
        </w:tc>
        <w:tc>
          <w:tcPr>
            <w:tcW w:w="1320" w:type="dxa"/>
            <w:shd w:val="clear" w:color="auto" w:fill="auto"/>
            <w:noWrap/>
            <w:hideMark/>
          </w:tcPr>
          <w:p w14:paraId="44173AD9" w14:textId="77777777" w:rsidR="00A9501F" w:rsidRPr="00745C53" w:rsidRDefault="00A9501F" w:rsidP="006F037C">
            <w:pPr>
              <w:spacing w:line="240" w:lineRule="auto"/>
              <w:jc w:val="center"/>
              <w:rPr>
                <w:rFonts w:eastAsia="Times New Roman" w:cs="Arial"/>
                <w:bCs/>
                <w:color w:val="000000"/>
                <w:szCs w:val="24"/>
                <w:lang w:eastAsia="zh-CN"/>
              </w:rPr>
            </w:pPr>
            <w:r w:rsidRPr="00745C53">
              <w:rPr>
                <w:rFonts w:eastAsia="Times New Roman" w:cs="Arial"/>
                <w:bCs/>
                <w:color w:val="000000"/>
                <w:lang w:eastAsia="zh-CN"/>
              </w:rPr>
              <w:t>Tertiary</w:t>
            </w:r>
          </w:p>
        </w:tc>
      </w:tr>
      <w:tr w:rsidR="00A9501F" w:rsidRPr="00D936F6" w14:paraId="124C95C3" w14:textId="77777777" w:rsidTr="006F037C">
        <w:trPr>
          <w:trHeight w:val="315"/>
        </w:trPr>
        <w:tc>
          <w:tcPr>
            <w:tcW w:w="1320" w:type="dxa"/>
            <w:shd w:val="clear" w:color="auto" w:fill="auto"/>
            <w:noWrap/>
            <w:hideMark/>
          </w:tcPr>
          <w:p w14:paraId="173FD832"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1980</w:t>
            </w:r>
          </w:p>
        </w:tc>
        <w:tc>
          <w:tcPr>
            <w:tcW w:w="1320" w:type="dxa"/>
            <w:shd w:val="clear" w:color="auto" w:fill="auto"/>
            <w:noWrap/>
            <w:hideMark/>
          </w:tcPr>
          <w:p w14:paraId="0755B57B"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28.39%</w:t>
            </w:r>
          </w:p>
        </w:tc>
        <w:tc>
          <w:tcPr>
            <w:tcW w:w="1320" w:type="dxa"/>
            <w:shd w:val="clear" w:color="auto" w:fill="auto"/>
            <w:noWrap/>
            <w:hideMark/>
          </w:tcPr>
          <w:p w14:paraId="7E1FF5D0"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7.88%</w:t>
            </w:r>
          </w:p>
        </w:tc>
        <w:tc>
          <w:tcPr>
            <w:tcW w:w="1320" w:type="dxa"/>
            <w:shd w:val="clear" w:color="auto" w:fill="auto"/>
            <w:noWrap/>
            <w:hideMark/>
          </w:tcPr>
          <w:p w14:paraId="2B262D5E"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19.26%</w:t>
            </w:r>
          </w:p>
        </w:tc>
        <w:tc>
          <w:tcPr>
            <w:tcW w:w="1320" w:type="dxa"/>
            <w:shd w:val="clear" w:color="auto" w:fill="auto"/>
            <w:noWrap/>
            <w:hideMark/>
          </w:tcPr>
          <w:p w14:paraId="72A72BEA"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44.47%</w:t>
            </w:r>
          </w:p>
        </w:tc>
      </w:tr>
      <w:tr w:rsidR="00A9501F" w:rsidRPr="00D936F6" w14:paraId="31B9ACD0" w14:textId="77777777" w:rsidTr="006F037C">
        <w:trPr>
          <w:trHeight w:val="315"/>
        </w:trPr>
        <w:tc>
          <w:tcPr>
            <w:tcW w:w="1320" w:type="dxa"/>
            <w:shd w:val="clear" w:color="auto" w:fill="auto"/>
            <w:noWrap/>
            <w:hideMark/>
          </w:tcPr>
          <w:p w14:paraId="1F1A2718"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1990</w:t>
            </w:r>
          </w:p>
        </w:tc>
        <w:tc>
          <w:tcPr>
            <w:tcW w:w="1320" w:type="dxa"/>
            <w:shd w:val="clear" w:color="auto" w:fill="auto"/>
            <w:noWrap/>
            <w:hideMark/>
          </w:tcPr>
          <w:p w14:paraId="495A819C"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11.98%</w:t>
            </w:r>
          </w:p>
        </w:tc>
        <w:tc>
          <w:tcPr>
            <w:tcW w:w="1320" w:type="dxa"/>
            <w:shd w:val="clear" w:color="auto" w:fill="auto"/>
            <w:noWrap/>
            <w:hideMark/>
          </w:tcPr>
          <w:p w14:paraId="302B18DC"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17.21%</w:t>
            </w:r>
          </w:p>
        </w:tc>
        <w:tc>
          <w:tcPr>
            <w:tcW w:w="1320" w:type="dxa"/>
            <w:shd w:val="clear" w:color="auto" w:fill="auto"/>
            <w:noWrap/>
            <w:hideMark/>
          </w:tcPr>
          <w:p w14:paraId="00658BF0"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11.29%</w:t>
            </w:r>
          </w:p>
        </w:tc>
        <w:tc>
          <w:tcPr>
            <w:tcW w:w="1320" w:type="dxa"/>
            <w:shd w:val="clear" w:color="auto" w:fill="auto"/>
            <w:noWrap/>
            <w:hideMark/>
          </w:tcPr>
          <w:p w14:paraId="52B62BC3"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59.51%</w:t>
            </w:r>
          </w:p>
        </w:tc>
      </w:tr>
      <w:tr w:rsidR="00A9501F" w:rsidRPr="00D936F6" w14:paraId="596C9020" w14:textId="77777777" w:rsidTr="006F037C">
        <w:trPr>
          <w:trHeight w:val="315"/>
        </w:trPr>
        <w:tc>
          <w:tcPr>
            <w:tcW w:w="1320" w:type="dxa"/>
            <w:shd w:val="clear" w:color="auto" w:fill="auto"/>
            <w:noWrap/>
            <w:hideMark/>
          </w:tcPr>
          <w:p w14:paraId="3B2768AD"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2000</w:t>
            </w:r>
          </w:p>
        </w:tc>
        <w:tc>
          <w:tcPr>
            <w:tcW w:w="1320" w:type="dxa"/>
            <w:shd w:val="clear" w:color="auto" w:fill="auto"/>
            <w:noWrap/>
            <w:hideMark/>
          </w:tcPr>
          <w:p w14:paraId="71E788C4"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1.80%</w:t>
            </w:r>
          </w:p>
        </w:tc>
        <w:tc>
          <w:tcPr>
            <w:tcW w:w="1320" w:type="dxa"/>
            <w:shd w:val="clear" w:color="auto" w:fill="auto"/>
            <w:noWrap/>
            <w:hideMark/>
          </w:tcPr>
          <w:p w14:paraId="5A76B1D3"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15.29%</w:t>
            </w:r>
          </w:p>
        </w:tc>
        <w:tc>
          <w:tcPr>
            <w:tcW w:w="1320" w:type="dxa"/>
            <w:shd w:val="clear" w:color="auto" w:fill="auto"/>
            <w:noWrap/>
            <w:hideMark/>
          </w:tcPr>
          <w:p w14:paraId="1690D7C7"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6.58%</w:t>
            </w:r>
          </w:p>
        </w:tc>
        <w:tc>
          <w:tcPr>
            <w:tcW w:w="1320" w:type="dxa"/>
            <w:shd w:val="clear" w:color="auto" w:fill="auto"/>
            <w:noWrap/>
            <w:hideMark/>
          </w:tcPr>
          <w:p w14:paraId="4DB2A4E4"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76.34%</w:t>
            </w:r>
          </w:p>
        </w:tc>
      </w:tr>
      <w:tr w:rsidR="00A9501F" w:rsidRPr="00D936F6" w14:paraId="69124F56" w14:textId="77777777" w:rsidTr="006F037C">
        <w:trPr>
          <w:trHeight w:val="315"/>
        </w:trPr>
        <w:tc>
          <w:tcPr>
            <w:tcW w:w="1320" w:type="dxa"/>
            <w:shd w:val="clear" w:color="auto" w:fill="auto"/>
            <w:noWrap/>
            <w:hideMark/>
          </w:tcPr>
          <w:p w14:paraId="34E1F889"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2010</w:t>
            </w:r>
          </w:p>
        </w:tc>
        <w:tc>
          <w:tcPr>
            <w:tcW w:w="1320" w:type="dxa"/>
            <w:shd w:val="clear" w:color="auto" w:fill="auto"/>
            <w:noWrap/>
            <w:hideMark/>
          </w:tcPr>
          <w:p w14:paraId="5C088299"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0.45%</w:t>
            </w:r>
          </w:p>
        </w:tc>
        <w:tc>
          <w:tcPr>
            <w:tcW w:w="1320" w:type="dxa"/>
            <w:shd w:val="clear" w:color="auto" w:fill="auto"/>
            <w:noWrap/>
            <w:hideMark/>
          </w:tcPr>
          <w:p w14:paraId="4D8717D3"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3.45%</w:t>
            </w:r>
          </w:p>
        </w:tc>
        <w:tc>
          <w:tcPr>
            <w:tcW w:w="1320" w:type="dxa"/>
            <w:shd w:val="clear" w:color="auto" w:fill="auto"/>
            <w:noWrap/>
            <w:hideMark/>
          </w:tcPr>
          <w:p w14:paraId="52A9D73D"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5.47%</w:t>
            </w:r>
          </w:p>
        </w:tc>
        <w:tc>
          <w:tcPr>
            <w:tcW w:w="1320" w:type="dxa"/>
            <w:shd w:val="clear" w:color="auto" w:fill="auto"/>
            <w:noWrap/>
            <w:hideMark/>
          </w:tcPr>
          <w:p w14:paraId="58B313FA"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90.64%</w:t>
            </w:r>
          </w:p>
        </w:tc>
      </w:tr>
      <w:tr w:rsidR="00A9501F" w:rsidRPr="00D936F6" w14:paraId="438A48C3" w14:textId="77777777" w:rsidTr="006F037C">
        <w:trPr>
          <w:trHeight w:val="315"/>
        </w:trPr>
        <w:tc>
          <w:tcPr>
            <w:tcW w:w="1320" w:type="dxa"/>
            <w:shd w:val="clear" w:color="auto" w:fill="auto"/>
            <w:noWrap/>
            <w:hideMark/>
          </w:tcPr>
          <w:p w14:paraId="7E7A7732"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2020</w:t>
            </w:r>
          </w:p>
        </w:tc>
        <w:tc>
          <w:tcPr>
            <w:tcW w:w="1320" w:type="dxa"/>
            <w:shd w:val="clear" w:color="auto" w:fill="auto"/>
            <w:noWrap/>
            <w:hideMark/>
          </w:tcPr>
          <w:p w14:paraId="3B3BBB04"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0.21%</w:t>
            </w:r>
          </w:p>
        </w:tc>
        <w:tc>
          <w:tcPr>
            <w:tcW w:w="1320" w:type="dxa"/>
            <w:shd w:val="clear" w:color="auto" w:fill="auto"/>
            <w:noWrap/>
            <w:hideMark/>
          </w:tcPr>
          <w:p w14:paraId="7D825A0C"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2.16%</w:t>
            </w:r>
          </w:p>
        </w:tc>
        <w:tc>
          <w:tcPr>
            <w:tcW w:w="1320" w:type="dxa"/>
            <w:shd w:val="clear" w:color="auto" w:fill="auto"/>
            <w:noWrap/>
            <w:hideMark/>
          </w:tcPr>
          <w:p w14:paraId="0CC57726"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6.07%</w:t>
            </w:r>
          </w:p>
        </w:tc>
        <w:tc>
          <w:tcPr>
            <w:tcW w:w="1320" w:type="dxa"/>
            <w:shd w:val="clear" w:color="auto" w:fill="auto"/>
            <w:noWrap/>
            <w:hideMark/>
          </w:tcPr>
          <w:p w14:paraId="0E7898CA" w14:textId="77777777" w:rsidR="00A9501F" w:rsidRPr="00D936F6" w:rsidRDefault="00A9501F" w:rsidP="006F037C">
            <w:pPr>
              <w:spacing w:line="240" w:lineRule="auto"/>
              <w:jc w:val="center"/>
              <w:rPr>
                <w:rFonts w:eastAsia="Times New Roman" w:cs="Arial"/>
                <w:color w:val="000000"/>
                <w:szCs w:val="24"/>
                <w:lang w:eastAsia="zh-CN"/>
              </w:rPr>
            </w:pPr>
            <w:r w:rsidRPr="00D936F6">
              <w:rPr>
                <w:rFonts w:eastAsia="Times New Roman" w:cs="Arial"/>
                <w:color w:val="000000"/>
                <w:szCs w:val="24"/>
                <w:lang w:eastAsia="zh-CN"/>
              </w:rPr>
              <w:t>91.56%</w:t>
            </w:r>
          </w:p>
        </w:tc>
      </w:tr>
    </w:tbl>
    <w:p w14:paraId="2B163057" w14:textId="77777777" w:rsidR="00A9501F" w:rsidRDefault="00A9501F" w:rsidP="00A9501F">
      <w:pPr>
        <w:jc w:val="both"/>
        <w:rPr>
          <w:rFonts w:cs="Arial"/>
        </w:rPr>
      </w:pPr>
    </w:p>
    <w:p w14:paraId="0D4948BC" w14:textId="77777777" w:rsidR="00A9501F" w:rsidRDefault="00A9501F" w:rsidP="00A9501F">
      <w:pPr>
        <w:jc w:val="both"/>
        <w:rPr>
          <w:rFonts w:cs="Arial"/>
        </w:rPr>
      </w:pPr>
    </w:p>
    <w:p w14:paraId="1705A707" w14:textId="23D5944A" w:rsidR="00AF2B8D" w:rsidRPr="005C6C38" w:rsidRDefault="00A9501F" w:rsidP="005C6C38">
      <w:pPr>
        <w:jc w:val="both"/>
        <w:rPr>
          <w:rFonts w:cs="Arial"/>
        </w:rPr>
      </w:pPr>
      <w:r>
        <w:rPr>
          <w:rFonts w:cs="Arial"/>
        </w:rPr>
        <w:t>This chart indicates the strength of the tertiary HQA and the contribution to the education effect. As observed, the contribution of tertiary education to the education effect has likely plateaued. This would mean that much of the contribution of the education effect comes from elevating the HQA. As the population ages and as HQA becomes saturated, it is less likely that education can continue to contribute at the same level, given the growing demographic headwinds.</w:t>
      </w:r>
    </w:p>
    <w:p w14:paraId="27512FA7" w14:textId="0F880B7A" w:rsidR="00AF2B8D" w:rsidRDefault="00AF2B8D" w:rsidP="00AF2B8D">
      <w:pPr>
        <w:pBdr>
          <w:top w:val="nil"/>
          <w:left w:val="nil"/>
          <w:bottom w:val="nil"/>
          <w:right w:val="nil"/>
          <w:between w:val="nil"/>
        </w:pBdr>
        <w:spacing w:after="200" w:line="276" w:lineRule="auto"/>
        <w:jc w:val="both"/>
        <w:rPr>
          <w:rFonts w:eastAsia="Calibri" w:cs="Arial"/>
          <w:b/>
          <w:bCs/>
          <w:color w:val="000000"/>
          <w:u w:val="single"/>
        </w:rPr>
      </w:pPr>
    </w:p>
    <w:p w14:paraId="712D0FA0" w14:textId="77777777" w:rsidR="00772188" w:rsidRPr="00AF2B8D" w:rsidRDefault="00772188" w:rsidP="00AF2B8D">
      <w:pPr>
        <w:pBdr>
          <w:top w:val="nil"/>
          <w:left w:val="nil"/>
          <w:bottom w:val="nil"/>
          <w:right w:val="nil"/>
          <w:between w:val="nil"/>
        </w:pBdr>
        <w:spacing w:after="200" w:line="276" w:lineRule="auto"/>
        <w:jc w:val="both"/>
        <w:rPr>
          <w:rFonts w:eastAsia="Calibri" w:cs="Arial"/>
          <w:b/>
          <w:bCs/>
          <w:color w:val="000000"/>
          <w:u w:val="single"/>
        </w:rPr>
      </w:pPr>
    </w:p>
    <w:p w14:paraId="709DD11D" w14:textId="506A9239" w:rsidR="00AF2B8D" w:rsidRPr="00A9501F" w:rsidRDefault="00A9501F" w:rsidP="00467D2A">
      <w:pPr>
        <w:pStyle w:val="Heading1"/>
        <w:numPr>
          <w:ilvl w:val="0"/>
          <w:numId w:val="22"/>
        </w:numPr>
        <w:tabs>
          <w:tab w:val="left" w:pos="284"/>
        </w:tabs>
        <w:ind w:left="0" w:firstLine="0"/>
      </w:pPr>
      <w:r>
        <w:lastRenderedPageBreak/>
        <w:t>DISCUSSION</w:t>
      </w:r>
    </w:p>
    <w:p w14:paraId="6626F5B0" w14:textId="4775131B" w:rsidR="00A9501F" w:rsidRPr="00A9501F" w:rsidRDefault="00A9501F" w:rsidP="00A9501F">
      <w:pPr>
        <w:jc w:val="both"/>
        <w:rPr>
          <w:rFonts w:cs="Arial"/>
        </w:rPr>
      </w:pPr>
      <w:r w:rsidRPr="00A9501F">
        <w:rPr>
          <w:rFonts w:cs="Arial"/>
        </w:rPr>
        <w:t xml:space="preserve">The results suggest that education and age structure had a roughly equal role in contributing to the ESR at the beginning, with education having a larger role in later decades. This is suggestive of the effect of how higher HQA at higher levels did contribute to Singapore’s ESR. At the same time, while changes in the age structure had been disadvantageous to ESR, the changing higher attainment of the HQA and the associated higher incomes contributed to the maintenance of the ESR. However, as most of the population continues to age, the boost from incomes becomes less effective, as seen in the 2020 result. According to the United Nations World Population Prospects 2022 </w:t>
      </w:r>
      <w:r w:rsidRPr="00A9501F">
        <w:rPr>
          <w:rFonts w:cs="Arial"/>
        </w:rPr>
        <w:fldChar w:fldCharType="begin"/>
      </w:r>
      <w:r w:rsidR="005C6C38">
        <w:rPr>
          <w:rFonts w:cs="Arial"/>
        </w:rPr>
        <w:instrText xml:space="preserve"> ADDIN ZOTERO_ITEM CSL_CITATION {"citationID":"TPcMeEYt","properties":{"formattedCitation":"(United Nations department of Economic and Social Affairs, 2022)","plainCitation":"(United Nations department of Economic and Social Affairs, 2022)","noteIndex":0},"citationItems":[{"id":1589,"uris":["http://zotero.org/users/7533545/items/U2PS64AF"],"itemData":{"id":1589,"type":"webpage","container-title":"World Population Prospects 2022","title":"World Population Prospects - Population Division - United Nations","URL":"https://population.un.org/wpp/Download/Standard/MostUsed/","author":[{"family":"United Nations department of Economic and Social Affairs","given":"Population  Division"}],"accessed":{"date-parts":[["2023",1,25]]},"issued":{"date-parts":[["2022"]]}}}],"schema":"https://github.com/citation-style-language/schema/raw/master/csl-citation.json"} </w:instrText>
      </w:r>
      <w:r w:rsidRPr="00A9501F">
        <w:rPr>
          <w:rFonts w:cs="Arial"/>
        </w:rPr>
        <w:fldChar w:fldCharType="separate"/>
      </w:r>
      <w:r w:rsidRPr="00A9501F">
        <w:rPr>
          <w:rFonts w:cs="Arial"/>
        </w:rPr>
        <w:t>(United Nations department of Economic and Social Affairs, 2022)</w:t>
      </w:r>
      <w:r w:rsidRPr="00A9501F">
        <w:rPr>
          <w:rFonts w:cs="Arial"/>
        </w:rPr>
        <w:fldChar w:fldCharType="end"/>
      </w:r>
      <w:r w:rsidRPr="00A9501F">
        <w:rPr>
          <w:rFonts w:cs="Arial"/>
        </w:rPr>
        <w:t xml:space="preserve">, the medium variant projection for Singapore’s population sees those over aged 70 to increase from 669,000 in 2025 to 1.94 million by 2070 – an increase of more than two times, before declining. Their proportion in the population will also increase, from about eleven percent in 2025 to 32.7 per cent in 2070, and then declining. </w:t>
      </w:r>
    </w:p>
    <w:p w14:paraId="7FAC4664" w14:textId="77777777" w:rsidR="00A9501F" w:rsidRPr="00A9501F" w:rsidRDefault="00A9501F" w:rsidP="00A9501F">
      <w:pPr>
        <w:jc w:val="both"/>
        <w:rPr>
          <w:rFonts w:cs="Arial"/>
        </w:rPr>
      </w:pPr>
    </w:p>
    <w:p w14:paraId="0F1558ED" w14:textId="77777777" w:rsidR="00A9501F" w:rsidRPr="00A9501F" w:rsidRDefault="00A9501F" w:rsidP="00A9501F">
      <w:pPr>
        <w:rPr>
          <w:rFonts w:cs="Arial"/>
        </w:rPr>
      </w:pPr>
      <w:r>
        <w:rPr>
          <w:noProof/>
        </w:rPr>
        <w:drawing>
          <wp:inline distT="0" distB="0" distL="0" distR="0" wp14:anchorId="70FE6B72" wp14:editId="696F0EB3">
            <wp:extent cx="5731510" cy="3181350"/>
            <wp:effectExtent l="0" t="0" r="8890" b="6350"/>
            <wp:docPr id="14" name="Chart 14">
              <a:extLst xmlns:a="http://schemas.openxmlformats.org/drawingml/2006/main">
                <a:ext uri="{FF2B5EF4-FFF2-40B4-BE49-F238E27FC236}">
                  <a16:creationId xmlns:a16="http://schemas.microsoft.com/office/drawing/2014/main" id="{E0D4A651-8BCA-4CEC-A902-4C5042319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013378" w14:textId="75B81F7A" w:rsidR="00A9501F" w:rsidRDefault="00A9501F" w:rsidP="00A9501F">
      <w:pPr>
        <w:jc w:val="both"/>
        <w:rPr>
          <w:rFonts w:cs="Arial"/>
        </w:rPr>
      </w:pPr>
      <w:r w:rsidRPr="00A9501F">
        <w:rPr>
          <w:rFonts w:cs="Arial"/>
        </w:rPr>
        <w:lastRenderedPageBreak/>
        <w:t xml:space="preserve">In this analysis, the income and consumption profiles from 2013 are used throughout all the decades. This is one limitation of this analysis, allowing the age and education effects to be apparent. </w:t>
      </w:r>
    </w:p>
    <w:p w14:paraId="339C81C8" w14:textId="77777777" w:rsidR="00A9501F" w:rsidRPr="00A9501F" w:rsidRDefault="00A9501F" w:rsidP="00A9501F">
      <w:pPr>
        <w:jc w:val="both"/>
        <w:rPr>
          <w:rFonts w:cs="Arial"/>
        </w:rPr>
      </w:pPr>
    </w:p>
    <w:p w14:paraId="66206559" w14:textId="77777777" w:rsidR="00A9501F" w:rsidRPr="00A9501F" w:rsidRDefault="00A9501F" w:rsidP="00A9501F">
      <w:r w:rsidRPr="00A9501F">
        <w:t xml:space="preserve">This analysis adds to the perspective that Singapore’s historical economic performance was not just due to favourable demographics; a population that was also actively rising in HQA also contributed to the rapid growth experienced in the period. At the same time, the continuation of growth from the 2010s to the present cannot be attributed to demographics alone given the rapidly ageing population. </w:t>
      </w:r>
    </w:p>
    <w:p w14:paraId="03DCF09C" w14:textId="77777777" w:rsidR="00A9501F" w:rsidRPr="00A9501F" w:rsidRDefault="00A9501F" w:rsidP="00A9501F">
      <w:pPr>
        <w:pStyle w:val="Heading1"/>
      </w:pPr>
    </w:p>
    <w:p w14:paraId="4E074C04" w14:textId="4BEF42E8" w:rsidR="00A9501F" w:rsidRPr="00A9501F" w:rsidRDefault="00467D2A" w:rsidP="00A9501F">
      <w:pPr>
        <w:pStyle w:val="Heading1"/>
      </w:pPr>
      <w:r>
        <w:t>9</w:t>
      </w:r>
      <w:r w:rsidR="00A9501F">
        <w:t xml:space="preserve">. </w:t>
      </w:r>
      <w:r w:rsidR="00B53759">
        <w:t>CONCLUSION AND FURTHER WORK</w:t>
      </w:r>
    </w:p>
    <w:p w14:paraId="08FC09E7" w14:textId="77777777" w:rsidR="00A9501F" w:rsidRPr="00A9501F" w:rsidRDefault="00A9501F" w:rsidP="00A9501F">
      <w:r w:rsidRPr="00A9501F">
        <w:t xml:space="preserve">Together, the results suggest that rising HQA remains an important way to maintain the ESR despite the demographic headwinds. At the same time, there ought to be an ongoing effort to boost the incomes from HQA beyond 2013 levels, lower consumption especially for health in the later ages of life, among other measures. </w:t>
      </w:r>
    </w:p>
    <w:p w14:paraId="48148B3B" w14:textId="6DE62A82" w:rsidR="00A9501F" w:rsidRDefault="00A9501F" w:rsidP="00A9501F">
      <w:r w:rsidRPr="00A9501F">
        <w:t xml:space="preserve">The work also points to other strategies to shift consumption and income over time, so to reduce the need for transfers, including public transfers. One such way is to reduce the consumption of education in the first 25 or so years of life. Rather than the one-time large public subsidy of education, education could instead be broken down into smaller chunks throughout life with a smaller (but still substantial) public subsidy component. Smaller, more regular chunks of education and training throughout one’s career also has the effect of providing more relevant skills, rather than relying on education that might become less relevant as time passes. This is already in line with </w:t>
      </w:r>
      <w:r w:rsidRPr="00A9501F">
        <w:lastRenderedPageBreak/>
        <w:t xml:space="preserve">the </w:t>
      </w:r>
      <w:proofErr w:type="spellStart"/>
      <w:r w:rsidRPr="00A9501F">
        <w:t>SkillsFuture</w:t>
      </w:r>
      <w:proofErr w:type="spellEnd"/>
      <w:r w:rsidRPr="00A9501F">
        <w:t xml:space="preserve"> movement advocating for lifelong learning through various policy incentives </w:t>
      </w:r>
      <w:r w:rsidRPr="00A9501F">
        <w:fldChar w:fldCharType="begin"/>
      </w:r>
      <w:r w:rsidR="005C6C38">
        <w:instrText xml:space="preserve"> ADDIN ZOTERO_ITEM CSL_CITATION {"citationID":"CUEEuvGw","properties":{"formattedCitation":"(Government of Singapore, 2022)","plainCitation":"(Government of Singapore, 2022)","noteIndex":0},"citationItems":[{"id":1587,"uris":["http://zotero.org/users/7533545/items/GCVAK8NZ"],"itemData":{"id":1587,"type":"webpage","container-title":"About SkillsFuture","title":"SSG | AboutSkillsFuture","URL":"https://www.skillsfuture.gov.sg/AboutSkillsFuture","author":[{"family":"Government of Singapore","given":""}],"accessed":{"date-parts":[["2023",1,9]]},"issued":{"date-parts":[["2022",3,21]]}}}],"schema":"https://github.com/citation-style-language/schema/raw/master/csl-citation.json"} </w:instrText>
      </w:r>
      <w:r w:rsidRPr="00A9501F">
        <w:fldChar w:fldCharType="separate"/>
      </w:r>
      <w:r w:rsidRPr="00A9501F">
        <w:rPr>
          <w:noProof/>
        </w:rPr>
        <w:t>(Government of Singapore, 2022)</w:t>
      </w:r>
      <w:r w:rsidRPr="00A9501F">
        <w:fldChar w:fldCharType="end"/>
      </w:r>
      <w:r w:rsidRPr="00A9501F">
        <w:t xml:space="preserve">. </w:t>
      </w:r>
    </w:p>
    <w:p w14:paraId="5FA13363" w14:textId="77777777" w:rsidR="00A9501F" w:rsidRPr="00A9501F" w:rsidRDefault="00A9501F" w:rsidP="00A9501F"/>
    <w:p w14:paraId="572E25A2" w14:textId="5E5C6048" w:rsidR="00A9501F" w:rsidRPr="00A9501F" w:rsidRDefault="00A9501F" w:rsidP="00A9501F">
      <w:r w:rsidRPr="00A9501F">
        <w:t xml:space="preserve">In health, efforts such as Healthier SG announced by Minister of Health Mr Ong Ye Kung </w:t>
      </w:r>
      <w:r w:rsidRPr="00A9501F">
        <w:fldChar w:fldCharType="begin"/>
      </w:r>
      <w:r w:rsidR="005C6C38">
        <w:instrText xml:space="preserve"> ADDIN ZOTERO_ITEM CSL_CITATION {"citationID":"7CKvFqOz","properties":{"formattedCitation":"(Ong, 2022)","plainCitation":"(Ong, 2022)","dontUpdate":true,"noteIndex":0},"citationItems":[{"id":739,"uris":["http://zotero.org/users/7533545/items/TXPPHMW3"],"itemData":{"id":739,"type":"webpage","container-title":"SPEECH BY MR ONG YE KUNG, MINISTER FOR HEALTH, AT THE MINISTRY OF HEALTH COMMITTEE OF SUPPLY DEBATE 2022","title":"MOH | News Highlights","URL":"https://www.moh.gov.sg/news-highlights/details/speech-by-mr-ong-ye-kung-minister-for-health-at-the-ministry-of-health-committee-of-supply-debate-2022","author":[{"family":"Ong","given":"Ye Kung"}],"accessed":{"date-parts":[["2022",5,5]]},"issued":{"date-parts":[["2022",3,9]]}}}],"schema":"https://github.com/citation-style-language/schema/raw/master/csl-citation.json"} </w:instrText>
      </w:r>
      <w:r w:rsidRPr="00A9501F">
        <w:fldChar w:fldCharType="separate"/>
      </w:r>
      <w:r w:rsidRPr="00A9501F">
        <w:t>(2022)</w:t>
      </w:r>
      <w:r w:rsidRPr="00A9501F">
        <w:fldChar w:fldCharType="end"/>
      </w:r>
      <w:r w:rsidRPr="00A9501F">
        <w:t xml:space="preserve"> towards greater importance of preventive health rather than acute care might gradually drive down health care costs. Promoting healthier lifestyles among Singaporeans and early healthcare measures reduces the costs of acute care. </w:t>
      </w:r>
    </w:p>
    <w:p w14:paraId="20669178" w14:textId="45675A20" w:rsidR="00A9501F" w:rsidRDefault="00A9501F" w:rsidP="00A9501F">
      <w:r w:rsidRPr="00A9501F">
        <w:t xml:space="preserve">These efforts, if successful, can lower consumption and boost incomes, allowing Singaporeans to maintain current standards of living even as greater proportion of Singaporeans become older. </w:t>
      </w:r>
    </w:p>
    <w:p w14:paraId="28F96447" w14:textId="77777777" w:rsidR="001B0704" w:rsidRPr="00A9501F" w:rsidRDefault="001B0704" w:rsidP="00A9501F"/>
    <w:p w14:paraId="19E7655D" w14:textId="77777777" w:rsidR="00A9501F" w:rsidRPr="00A9501F" w:rsidRDefault="00A9501F" w:rsidP="00A9501F">
      <w:r w:rsidRPr="00A9501F">
        <w:t>The National Transfer Accounts methodology will remain important as a way to track the effectiveness of the various policies discussed.</w:t>
      </w:r>
    </w:p>
    <w:p w14:paraId="56E564F3" w14:textId="77777777" w:rsidR="005C6C38" w:rsidRDefault="005C6C38" w:rsidP="005C6C38">
      <w:pPr>
        <w:pStyle w:val="Bibliography"/>
        <w:rPr>
          <w:rFonts w:cs="Arial"/>
        </w:rPr>
      </w:pPr>
    </w:p>
    <w:p w14:paraId="7DADE0AE" w14:textId="77777777" w:rsidR="005C6C38" w:rsidRDefault="00A9501F" w:rsidP="005C6C38">
      <w:pPr>
        <w:pStyle w:val="Bibliography"/>
        <w:rPr>
          <w:rFonts w:cs="Arial"/>
        </w:rPr>
      </w:pPr>
      <w:r w:rsidRPr="005C6C38">
        <w:rPr>
          <w:rFonts w:cs="Arial"/>
        </w:rPr>
        <w:br w:type="page"/>
      </w:r>
    </w:p>
    <w:p w14:paraId="6DC6C0B4" w14:textId="72E37CF0" w:rsidR="005C6C38" w:rsidRDefault="005C6C38" w:rsidP="005C6C38">
      <w:pPr>
        <w:pStyle w:val="Heading1"/>
        <w:spacing w:line="240" w:lineRule="auto"/>
      </w:pPr>
      <w:r>
        <w:lastRenderedPageBreak/>
        <w:t>REFERENCES</w:t>
      </w:r>
    </w:p>
    <w:p w14:paraId="32FC8198" w14:textId="77777777" w:rsidR="005C6C38" w:rsidRPr="005C6C38" w:rsidRDefault="005C6C38" w:rsidP="005C6C38"/>
    <w:p w14:paraId="39E8C3E8" w14:textId="3625FC48" w:rsidR="000C55A1" w:rsidRDefault="005C6C38" w:rsidP="009B5A59">
      <w:pPr>
        <w:pStyle w:val="Bibliography"/>
        <w:spacing w:line="240" w:lineRule="auto"/>
        <w:ind w:left="0" w:firstLine="0"/>
        <w:rPr>
          <w:rFonts w:cs="Arial"/>
        </w:rPr>
      </w:pPr>
      <w:r>
        <w:rPr>
          <w:rFonts w:cs="Arial"/>
        </w:rPr>
        <w:fldChar w:fldCharType="begin"/>
      </w:r>
      <w:r>
        <w:rPr>
          <w:rFonts w:cs="Arial"/>
        </w:rPr>
        <w:instrText xml:space="preserve"> ADDIN ZOTERO_BIBL {"uncited":[],"omitted":[],"custom":[]} CSL_BIBLIOGRAPHY </w:instrText>
      </w:r>
      <w:r>
        <w:rPr>
          <w:rFonts w:cs="Arial"/>
        </w:rPr>
        <w:fldChar w:fldCharType="separate"/>
      </w:r>
      <w:r w:rsidR="000C55A1" w:rsidRPr="000C55A1">
        <w:rPr>
          <w:rFonts w:cs="Arial"/>
        </w:rPr>
        <w:t xml:space="preserve">Ang, H. M. (2022, August 30). </w:t>
      </w:r>
      <w:r w:rsidR="000C55A1" w:rsidRPr="000C55A1">
        <w:rPr>
          <w:rFonts w:cs="Arial"/>
          <w:i/>
          <w:iCs/>
        </w:rPr>
        <w:t>Singapore’s first arts university, formed by NAFA and LASALLE alliance, to welcome students from 2024</w:t>
      </w:r>
      <w:r w:rsidR="000C55A1" w:rsidRPr="000C55A1">
        <w:rPr>
          <w:rFonts w:cs="Arial"/>
        </w:rPr>
        <w:t>. CNA. https://www.channelnewsasia.com/singapore/new-arts-university-lasalle-nafa-moe-arts-degree-2909291</w:t>
      </w:r>
    </w:p>
    <w:p w14:paraId="6A4C16F8" w14:textId="77777777" w:rsidR="00467D2A" w:rsidRPr="00467D2A" w:rsidRDefault="00467D2A" w:rsidP="009B5A59"/>
    <w:p w14:paraId="31B07B91" w14:textId="515E19C9" w:rsidR="000C55A1" w:rsidRDefault="000C55A1" w:rsidP="009B5A59">
      <w:pPr>
        <w:pStyle w:val="Bibliography"/>
        <w:spacing w:line="240" w:lineRule="auto"/>
        <w:ind w:left="0" w:firstLine="0"/>
        <w:rPr>
          <w:rFonts w:cs="Arial"/>
        </w:rPr>
      </w:pPr>
      <w:r w:rsidRPr="000C55A1">
        <w:rPr>
          <w:rFonts w:cs="Arial"/>
        </w:rPr>
        <w:t xml:space="preserve">Benhabib, J., &amp; Spiegel, M. M. (1994). The role of human capital in economic development evidence from aggregate cross-country data. </w:t>
      </w:r>
      <w:r w:rsidRPr="000C55A1">
        <w:rPr>
          <w:rFonts w:cs="Arial"/>
          <w:i/>
          <w:iCs/>
        </w:rPr>
        <w:t>Journal of Monetary Economics</w:t>
      </w:r>
      <w:r w:rsidRPr="000C55A1">
        <w:rPr>
          <w:rFonts w:cs="Arial"/>
        </w:rPr>
        <w:t xml:space="preserve">, </w:t>
      </w:r>
      <w:r w:rsidRPr="000C55A1">
        <w:rPr>
          <w:rFonts w:cs="Arial"/>
          <w:i/>
          <w:iCs/>
        </w:rPr>
        <w:t>34</w:t>
      </w:r>
      <w:r w:rsidRPr="000C55A1">
        <w:rPr>
          <w:rFonts w:cs="Arial"/>
        </w:rPr>
        <w:t>(2), 143–173. https://doi.org/10.1016/0304-3932(94)90047-7</w:t>
      </w:r>
    </w:p>
    <w:p w14:paraId="22101D12" w14:textId="77777777" w:rsidR="00467D2A" w:rsidRPr="00467D2A" w:rsidRDefault="00467D2A" w:rsidP="009B5A59"/>
    <w:p w14:paraId="5A812CCF" w14:textId="5F380857" w:rsidR="000C55A1" w:rsidRDefault="000C55A1" w:rsidP="009B5A59">
      <w:pPr>
        <w:pStyle w:val="Bibliography"/>
        <w:spacing w:line="240" w:lineRule="auto"/>
        <w:ind w:left="0" w:firstLine="0"/>
        <w:rPr>
          <w:rFonts w:cs="Arial"/>
        </w:rPr>
      </w:pPr>
      <w:r w:rsidRPr="000C55A1">
        <w:rPr>
          <w:rFonts w:cs="Arial"/>
        </w:rPr>
        <w:t xml:space="preserve">Bloom, D. E., &amp; Williamson, J. G. (1998). Demographic Transitions and Economic Miracles in Emerging Asia. </w:t>
      </w:r>
      <w:r w:rsidRPr="000C55A1">
        <w:rPr>
          <w:rFonts w:cs="Arial"/>
          <w:i/>
          <w:iCs/>
        </w:rPr>
        <w:t>The World Bank Economic Review</w:t>
      </w:r>
      <w:r w:rsidRPr="000C55A1">
        <w:rPr>
          <w:rFonts w:cs="Arial"/>
        </w:rPr>
        <w:t xml:space="preserve">, </w:t>
      </w:r>
      <w:r w:rsidRPr="000C55A1">
        <w:rPr>
          <w:rFonts w:cs="Arial"/>
          <w:i/>
          <w:iCs/>
        </w:rPr>
        <w:t>12</w:t>
      </w:r>
      <w:r w:rsidRPr="000C55A1">
        <w:rPr>
          <w:rFonts w:cs="Arial"/>
        </w:rPr>
        <w:t>(3), 37.</w:t>
      </w:r>
    </w:p>
    <w:p w14:paraId="03A4D26B" w14:textId="77777777" w:rsidR="00467D2A" w:rsidRPr="00467D2A" w:rsidRDefault="00467D2A" w:rsidP="009B5A59"/>
    <w:p w14:paraId="28A0F7D0" w14:textId="6528FA0F" w:rsidR="000C55A1" w:rsidRDefault="000C55A1" w:rsidP="009B5A59">
      <w:pPr>
        <w:pStyle w:val="Bibliography"/>
        <w:spacing w:line="240" w:lineRule="auto"/>
        <w:ind w:left="0" w:firstLine="0"/>
        <w:rPr>
          <w:rFonts w:cs="Arial"/>
        </w:rPr>
      </w:pPr>
      <w:r w:rsidRPr="000C55A1">
        <w:rPr>
          <w:rFonts w:cs="Arial"/>
        </w:rPr>
        <w:t xml:space="preserve">Crespo Cuaresma, J., Lutz, W., &amp; Sanderson, W. (2014). Is the Demographic Dividend an Education Dividend? </w:t>
      </w:r>
      <w:r w:rsidRPr="000C55A1">
        <w:rPr>
          <w:rFonts w:cs="Arial"/>
          <w:i/>
          <w:iCs/>
        </w:rPr>
        <w:t>Demography</w:t>
      </w:r>
      <w:r w:rsidRPr="000C55A1">
        <w:rPr>
          <w:rFonts w:cs="Arial"/>
        </w:rPr>
        <w:t xml:space="preserve">, </w:t>
      </w:r>
      <w:r w:rsidRPr="000C55A1">
        <w:rPr>
          <w:rFonts w:cs="Arial"/>
          <w:i/>
          <w:iCs/>
        </w:rPr>
        <w:t>51</w:t>
      </w:r>
      <w:r w:rsidRPr="000C55A1">
        <w:rPr>
          <w:rFonts w:cs="Arial"/>
        </w:rPr>
        <w:t>(1), 299–315. https://doi.org/10.1007/s13524-013-0245-x</w:t>
      </w:r>
    </w:p>
    <w:p w14:paraId="700DEB36" w14:textId="77777777" w:rsidR="00467D2A" w:rsidRPr="00467D2A" w:rsidRDefault="00467D2A" w:rsidP="009B5A59"/>
    <w:p w14:paraId="424FAEA5" w14:textId="610567AF" w:rsidR="000C55A1" w:rsidRDefault="000C55A1" w:rsidP="009B5A59">
      <w:pPr>
        <w:pStyle w:val="Bibliography"/>
        <w:spacing w:line="240" w:lineRule="auto"/>
        <w:ind w:left="0" w:firstLine="0"/>
        <w:rPr>
          <w:rFonts w:cs="Arial"/>
        </w:rPr>
      </w:pPr>
      <w:r w:rsidRPr="000C55A1">
        <w:rPr>
          <w:rFonts w:cs="Arial"/>
        </w:rPr>
        <w:t xml:space="preserve">Das Gupta, P. (1993). </w:t>
      </w:r>
      <w:r w:rsidRPr="000C55A1">
        <w:rPr>
          <w:rFonts w:cs="Arial"/>
          <w:i/>
          <w:iCs/>
        </w:rPr>
        <w:t>Standardization and Decomposition of Rates: A User’s Manual</w:t>
      </w:r>
      <w:r w:rsidRPr="000C55A1">
        <w:rPr>
          <w:rFonts w:cs="Arial"/>
        </w:rPr>
        <w:t>. U.S. Government Printing Office.</w:t>
      </w:r>
    </w:p>
    <w:p w14:paraId="27678229" w14:textId="77777777" w:rsidR="00467D2A" w:rsidRPr="00467D2A" w:rsidRDefault="00467D2A" w:rsidP="009B5A59"/>
    <w:p w14:paraId="05EBBFBE" w14:textId="48F933B7" w:rsidR="000C55A1" w:rsidRDefault="000C55A1" w:rsidP="009B5A59">
      <w:pPr>
        <w:pStyle w:val="Bibliography"/>
        <w:spacing w:line="240" w:lineRule="auto"/>
        <w:ind w:left="0" w:firstLine="0"/>
        <w:rPr>
          <w:rFonts w:cs="Arial"/>
        </w:rPr>
      </w:pPr>
      <w:r w:rsidRPr="000C55A1">
        <w:rPr>
          <w:rFonts w:cs="Arial"/>
        </w:rPr>
        <w:t xml:space="preserve">Government of Singapore. (2022, March 21). </w:t>
      </w:r>
      <w:r w:rsidRPr="000C55A1">
        <w:rPr>
          <w:rFonts w:cs="Arial"/>
          <w:i/>
          <w:iCs/>
        </w:rPr>
        <w:t>SSG | AboutSkillsFuture</w:t>
      </w:r>
      <w:r w:rsidRPr="000C55A1">
        <w:rPr>
          <w:rFonts w:cs="Arial"/>
        </w:rPr>
        <w:t>. About SkillsFuture. https://www.skillsfuture.gov.sg/AboutSkillsFuture</w:t>
      </w:r>
    </w:p>
    <w:p w14:paraId="1B41BEA3" w14:textId="77777777" w:rsidR="00467D2A" w:rsidRPr="00467D2A" w:rsidRDefault="00467D2A" w:rsidP="009B5A59"/>
    <w:p w14:paraId="4027A0A8" w14:textId="443B2DCF" w:rsidR="000C55A1" w:rsidRDefault="000C55A1" w:rsidP="009B5A59">
      <w:pPr>
        <w:pStyle w:val="Bibliography"/>
        <w:spacing w:line="240" w:lineRule="auto"/>
        <w:ind w:left="0" w:firstLine="0"/>
        <w:rPr>
          <w:rFonts w:cs="Arial"/>
        </w:rPr>
      </w:pPr>
      <w:r w:rsidRPr="000C55A1">
        <w:rPr>
          <w:rFonts w:cs="Arial"/>
        </w:rPr>
        <w:t xml:space="preserve">Islam, S. (2019). Age and Education Effects in the First Demographic Dividend of Bangladesh. </w:t>
      </w:r>
      <w:r w:rsidRPr="000C55A1">
        <w:rPr>
          <w:rFonts w:cs="Arial"/>
          <w:i/>
          <w:iCs/>
        </w:rPr>
        <w:t>The Bangladesh Development Studies</w:t>
      </w:r>
      <w:r w:rsidRPr="000C55A1">
        <w:rPr>
          <w:rFonts w:cs="Arial"/>
        </w:rPr>
        <w:t xml:space="preserve">, </w:t>
      </w:r>
      <w:r w:rsidRPr="000C55A1">
        <w:rPr>
          <w:rFonts w:cs="Arial"/>
          <w:i/>
          <w:iCs/>
        </w:rPr>
        <w:t>42</w:t>
      </w:r>
      <w:r w:rsidRPr="000C55A1">
        <w:rPr>
          <w:rFonts w:cs="Arial"/>
        </w:rPr>
        <w:t>(4), 51–81.</w:t>
      </w:r>
    </w:p>
    <w:p w14:paraId="2D5939B0" w14:textId="77777777" w:rsidR="00467D2A" w:rsidRPr="00467D2A" w:rsidRDefault="00467D2A" w:rsidP="009B5A59"/>
    <w:p w14:paraId="4B4B358E" w14:textId="5306E675" w:rsidR="000C55A1" w:rsidRDefault="000C55A1" w:rsidP="009B5A59">
      <w:pPr>
        <w:pStyle w:val="Bibliography"/>
        <w:spacing w:line="240" w:lineRule="auto"/>
        <w:ind w:left="0" w:firstLine="0"/>
        <w:rPr>
          <w:rFonts w:cs="Arial"/>
        </w:rPr>
      </w:pPr>
      <w:r w:rsidRPr="000C55A1">
        <w:rPr>
          <w:rFonts w:cs="Arial"/>
        </w:rPr>
        <w:t xml:space="preserve">Kotschy, R., Suarez Urtaza, P., &amp; Sunde, U. (2020). The demographic dividend is more than an education dividend. </w:t>
      </w:r>
      <w:r w:rsidRPr="000C55A1">
        <w:rPr>
          <w:rFonts w:cs="Arial"/>
          <w:i/>
          <w:iCs/>
        </w:rPr>
        <w:t>Proceedings of the National Academy of Sciences</w:t>
      </w:r>
      <w:r w:rsidRPr="000C55A1">
        <w:rPr>
          <w:rFonts w:cs="Arial"/>
        </w:rPr>
        <w:t xml:space="preserve">, </w:t>
      </w:r>
      <w:r w:rsidRPr="000C55A1">
        <w:rPr>
          <w:rFonts w:cs="Arial"/>
          <w:i/>
          <w:iCs/>
        </w:rPr>
        <w:t>117</w:t>
      </w:r>
      <w:r w:rsidRPr="000C55A1">
        <w:rPr>
          <w:rFonts w:cs="Arial"/>
        </w:rPr>
        <w:t>(42), 25982–25984. https://doi.org/10.1073/pnas.2012286117</w:t>
      </w:r>
    </w:p>
    <w:p w14:paraId="4AC40852" w14:textId="77777777" w:rsidR="00467D2A" w:rsidRPr="00467D2A" w:rsidRDefault="00467D2A" w:rsidP="009B5A59"/>
    <w:p w14:paraId="1F527157" w14:textId="5D800841" w:rsidR="000C55A1" w:rsidRDefault="000C55A1" w:rsidP="009B5A59">
      <w:pPr>
        <w:pStyle w:val="Bibliography"/>
        <w:spacing w:line="240" w:lineRule="auto"/>
        <w:ind w:left="0" w:firstLine="0"/>
        <w:rPr>
          <w:rFonts w:cs="Arial"/>
        </w:rPr>
      </w:pPr>
      <w:r w:rsidRPr="000C55A1">
        <w:rPr>
          <w:rFonts w:cs="Arial"/>
        </w:rPr>
        <w:t xml:space="preserve">Kotschy, R., &amp; Sunde, U. (n.d.). Education and ageing. </w:t>
      </w:r>
      <w:r w:rsidRPr="000C55A1">
        <w:rPr>
          <w:rFonts w:cs="Arial"/>
          <w:i/>
          <w:iCs/>
        </w:rPr>
        <w:t>Economic Policy</w:t>
      </w:r>
      <w:r w:rsidRPr="000C55A1">
        <w:rPr>
          <w:rFonts w:cs="Arial"/>
        </w:rPr>
        <w:t xml:space="preserve">, </w:t>
      </w:r>
      <w:r w:rsidRPr="000C55A1">
        <w:rPr>
          <w:rFonts w:cs="Arial"/>
          <w:i/>
          <w:iCs/>
        </w:rPr>
        <w:t>96</w:t>
      </w:r>
      <w:r w:rsidRPr="000C55A1">
        <w:rPr>
          <w:rFonts w:cs="Arial"/>
        </w:rPr>
        <w:t>(33), 587–634.</w:t>
      </w:r>
    </w:p>
    <w:p w14:paraId="13C996FC" w14:textId="77777777" w:rsidR="00467D2A" w:rsidRPr="00467D2A" w:rsidRDefault="00467D2A" w:rsidP="009B5A59"/>
    <w:p w14:paraId="38D2C789" w14:textId="37B1EE34" w:rsidR="000C55A1" w:rsidRDefault="000C55A1" w:rsidP="009B5A59">
      <w:pPr>
        <w:pStyle w:val="Bibliography"/>
        <w:spacing w:line="240" w:lineRule="auto"/>
        <w:ind w:left="0" w:firstLine="0"/>
        <w:rPr>
          <w:rFonts w:cs="Arial"/>
        </w:rPr>
      </w:pPr>
      <w:r w:rsidRPr="000C55A1">
        <w:rPr>
          <w:rFonts w:cs="Arial"/>
        </w:rPr>
        <w:t xml:space="preserve">Kusolpalin, P. (2016, February 29). National University of Singapore. </w:t>
      </w:r>
      <w:r w:rsidRPr="000C55A1">
        <w:rPr>
          <w:rFonts w:cs="Arial"/>
          <w:i/>
          <w:iCs/>
        </w:rPr>
        <w:t>Singapore Infopedia</w:t>
      </w:r>
      <w:r w:rsidRPr="000C55A1">
        <w:rPr>
          <w:rFonts w:cs="Arial"/>
        </w:rPr>
        <w:t>. https://eresources.nlb.gov.sg/infopedia/articles/SIP_50_2005-01-17.html?%20Higher--Singapore</w:t>
      </w:r>
    </w:p>
    <w:p w14:paraId="400C249F" w14:textId="77777777" w:rsidR="00467D2A" w:rsidRPr="00467D2A" w:rsidRDefault="00467D2A" w:rsidP="009B5A59"/>
    <w:p w14:paraId="093D9DB4" w14:textId="2CE5B889" w:rsidR="000C55A1" w:rsidRDefault="000C55A1" w:rsidP="009B5A59">
      <w:pPr>
        <w:pStyle w:val="Bibliography"/>
        <w:spacing w:line="240" w:lineRule="auto"/>
        <w:ind w:left="0" w:firstLine="0"/>
        <w:rPr>
          <w:rFonts w:cs="Arial"/>
        </w:rPr>
      </w:pPr>
      <w:r w:rsidRPr="000C55A1">
        <w:rPr>
          <w:rFonts w:cs="Arial"/>
        </w:rPr>
        <w:lastRenderedPageBreak/>
        <w:t xml:space="preserve">Kusolpalin, P. (2017). </w:t>
      </w:r>
      <w:r w:rsidRPr="000C55A1">
        <w:rPr>
          <w:rFonts w:cs="Arial"/>
          <w:i/>
          <w:iCs/>
        </w:rPr>
        <w:t>Nanyang Technological University | Infopedia</w:t>
      </w:r>
      <w:r w:rsidRPr="000C55A1">
        <w:rPr>
          <w:rFonts w:cs="Arial"/>
        </w:rPr>
        <w:t>. Singapore Infopedia. https://eresources.nlb.gov.sg/infopedia/articles/SIP_2016-03-09_132926.html</w:t>
      </w:r>
    </w:p>
    <w:p w14:paraId="03E53245" w14:textId="77777777" w:rsidR="00467D2A" w:rsidRPr="00467D2A" w:rsidRDefault="00467D2A" w:rsidP="009B5A59"/>
    <w:p w14:paraId="1BD7A815" w14:textId="0AC63405" w:rsidR="000C55A1" w:rsidRDefault="000C55A1" w:rsidP="009B5A59">
      <w:pPr>
        <w:pStyle w:val="Bibliography"/>
        <w:spacing w:line="240" w:lineRule="auto"/>
        <w:ind w:left="0" w:firstLine="0"/>
        <w:rPr>
          <w:rFonts w:cs="Arial"/>
        </w:rPr>
      </w:pPr>
      <w:r w:rsidRPr="000C55A1">
        <w:rPr>
          <w:rFonts w:cs="Arial"/>
        </w:rPr>
        <w:t xml:space="preserve">LASALLE College of the Arts. (2022). </w:t>
      </w:r>
      <w:r w:rsidRPr="000C55A1">
        <w:rPr>
          <w:rFonts w:cs="Arial"/>
          <w:i/>
          <w:iCs/>
        </w:rPr>
        <w:t>History &amp; Milestones | LASALLE College of the Arts</w:t>
      </w:r>
      <w:r w:rsidRPr="000C55A1">
        <w:rPr>
          <w:rFonts w:cs="Arial"/>
        </w:rPr>
        <w:t>. Our History - History and Milestones. https://www.lasalle.edu.sg/about/our-story/history-milestones</w:t>
      </w:r>
    </w:p>
    <w:p w14:paraId="70C66B12" w14:textId="77777777" w:rsidR="00467D2A" w:rsidRPr="00467D2A" w:rsidRDefault="00467D2A" w:rsidP="009B5A59"/>
    <w:p w14:paraId="3B57EF1E" w14:textId="070687C8" w:rsidR="000C55A1" w:rsidRDefault="000C55A1" w:rsidP="009B5A59">
      <w:pPr>
        <w:pStyle w:val="Bibliography"/>
        <w:spacing w:line="240" w:lineRule="auto"/>
        <w:ind w:left="0" w:firstLine="0"/>
        <w:rPr>
          <w:rFonts w:cs="Arial"/>
        </w:rPr>
      </w:pPr>
      <w:r w:rsidRPr="000C55A1">
        <w:rPr>
          <w:rFonts w:cs="Arial"/>
        </w:rPr>
        <w:t xml:space="preserve">Lee, R., Lee, S.-H., &amp; Mason, A. (2006). Charting the Economic Life Cycle. </w:t>
      </w:r>
      <w:r w:rsidRPr="000C55A1">
        <w:rPr>
          <w:rFonts w:cs="Arial"/>
          <w:i/>
          <w:iCs/>
        </w:rPr>
        <w:t>NBER Working Paper Series</w:t>
      </w:r>
      <w:r w:rsidRPr="000C55A1">
        <w:rPr>
          <w:rFonts w:cs="Arial"/>
        </w:rPr>
        <w:t xml:space="preserve">, </w:t>
      </w:r>
      <w:r w:rsidRPr="000C55A1">
        <w:rPr>
          <w:rFonts w:cs="Arial"/>
          <w:i/>
          <w:iCs/>
        </w:rPr>
        <w:t>12379</w:t>
      </w:r>
      <w:r w:rsidRPr="000C55A1">
        <w:rPr>
          <w:rFonts w:cs="Arial"/>
        </w:rPr>
        <w:t>, 32.</w:t>
      </w:r>
    </w:p>
    <w:p w14:paraId="2093A90C" w14:textId="77777777" w:rsidR="00467D2A" w:rsidRPr="00467D2A" w:rsidRDefault="00467D2A" w:rsidP="009B5A59"/>
    <w:p w14:paraId="377D224C" w14:textId="5BC8FD56" w:rsidR="000C55A1" w:rsidRDefault="000C55A1" w:rsidP="009B5A59">
      <w:pPr>
        <w:pStyle w:val="Bibliography"/>
        <w:spacing w:line="240" w:lineRule="auto"/>
        <w:ind w:left="0" w:firstLine="0"/>
        <w:rPr>
          <w:rFonts w:cs="Arial"/>
        </w:rPr>
      </w:pPr>
      <w:r w:rsidRPr="000C55A1">
        <w:rPr>
          <w:rFonts w:cs="Arial"/>
        </w:rPr>
        <w:t xml:space="preserve">Lee, R., Mason, A., &amp; Miller, T. (1998). </w:t>
      </w:r>
      <w:r w:rsidRPr="000C55A1">
        <w:rPr>
          <w:rFonts w:cs="Arial"/>
          <w:i/>
          <w:iCs/>
        </w:rPr>
        <w:t>Life Cycle Saving and the Demographic Transition in East Asia</w:t>
      </w:r>
      <w:r w:rsidRPr="000C55A1">
        <w:rPr>
          <w:rFonts w:cs="Arial"/>
        </w:rPr>
        <w:t>. 23.</w:t>
      </w:r>
    </w:p>
    <w:p w14:paraId="48ABAD20" w14:textId="77777777" w:rsidR="00467D2A" w:rsidRPr="00467D2A" w:rsidRDefault="00467D2A" w:rsidP="009B5A59"/>
    <w:p w14:paraId="569993A0" w14:textId="7D1D7924" w:rsidR="000C55A1" w:rsidRDefault="000C55A1" w:rsidP="009B5A59">
      <w:pPr>
        <w:pStyle w:val="Bibliography"/>
        <w:spacing w:line="240" w:lineRule="auto"/>
        <w:ind w:left="0" w:firstLine="0"/>
        <w:rPr>
          <w:rFonts w:cs="Arial"/>
        </w:rPr>
      </w:pPr>
      <w:r w:rsidRPr="000C55A1">
        <w:rPr>
          <w:rFonts w:cs="Arial"/>
        </w:rPr>
        <w:t xml:space="preserve">Lee, R., Mason, A., &amp; Miller, T. (2000). Life Cycle Saving and the Demographic Transition: The Case of Taiwan. </w:t>
      </w:r>
      <w:r w:rsidRPr="000C55A1">
        <w:rPr>
          <w:rFonts w:cs="Arial"/>
          <w:i/>
          <w:iCs/>
        </w:rPr>
        <w:t>Population and Development Review</w:t>
      </w:r>
      <w:r w:rsidRPr="000C55A1">
        <w:rPr>
          <w:rFonts w:cs="Arial"/>
        </w:rPr>
        <w:t xml:space="preserve">, </w:t>
      </w:r>
      <w:r w:rsidRPr="000C55A1">
        <w:rPr>
          <w:rFonts w:cs="Arial"/>
          <w:i/>
          <w:iCs/>
        </w:rPr>
        <w:t>26</w:t>
      </w:r>
      <w:r w:rsidRPr="000C55A1">
        <w:rPr>
          <w:rFonts w:cs="Arial"/>
        </w:rPr>
        <w:t>(Supplement: Population and Economic Change in East Asia), 194–219.</w:t>
      </w:r>
    </w:p>
    <w:p w14:paraId="6EBD5615" w14:textId="77777777" w:rsidR="00467D2A" w:rsidRPr="00467D2A" w:rsidRDefault="00467D2A" w:rsidP="009B5A59"/>
    <w:p w14:paraId="5CC14F0B" w14:textId="709C5525" w:rsidR="000C55A1" w:rsidRDefault="000C55A1" w:rsidP="009B5A59">
      <w:pPr>
        <w:pStyle w:val="Bibliography"/>
        <w:spacing w:line="240" w:lineRule="auto"/>
        <w:ind w:left="0" w:firstLine="0"/>
        <w:rPr>
          <w:rFonts w:cs="Arial"/>
        </w:rPr>
      </w:pPr>
      <w:r w:rsidRPr="000C55A1">
        <w:rPr>
          <w:rFonts w:cs="Arial"/>
        </w:rPr>
        <w:t xml:space="preserve">Loo, J. (2018, July). Singapore Polytechnic. </w:t>
      </w:r>
      <w:r w:rsidRPr="000C55A1">
        <w:rPr>
          <w:rFonts w:cs="Arial"/>
          <w:i/>
          <w:iCs/>
        </w:rPr>
        <w:t>Singapore Infopedia</w:t>
      </w:r>
      <w:r w:rsidRPr="000C55A1">
        <w:rPr>
          <w:rFonts w:cs="Arial"/>
        </w:rPr>
        <w:t>. https://eresources.nlb.gov.sg/infopedia/articles/SIP_2019-04-15_102439.html</w:t>
      </w:r>
    </w:p>
    <w:p w14:paraId="387B4D79" w14:textId="77777777" w:rsidR="00467D2A" w:rsidRPr="00467D2A" w:rsidRDefault="00467D2A" w:rsidP="009B5A59"/>
    <w:p w14:paraId="7F0244BD" w14:textId="6D57FD7C" w:rsidR="000C55A1" w:rsidRDefault="000C55A1" w:rsidP="009B5A59">
      <w:pPr>
        <w:pStyle w:val="Bibliography"/>
        <w:spacing w:line="240" w:lineRule="auto"/>
        <w:ind w:left="0" w:firstLine="0"/>
        <w:rPr>
          <w:rFonts w:cs="Arial"/>
        </w:rPr>
      </w:pPr>
      <w:r w:rsidRPr="000C55A1">
        <w:rPr>
          <w:rFonts w:cs="Arial"/>
        </w:rPr>
        <w:t xml:space="preserve">Loo, J. (2021, January). </w:t>
      </w:r>
      <w:r w:rsidRPr="000C55A1">
        <w:rPr>
          <w:rFonts w:cs="Arial"/>
          <w:i/>
          <w:iCs/>
        </w:rPr>
        <w:t>Ngee Ann Polytechnic</w:t>
      </w:r>
      <w:r w:rsidRPr="000C55A1">
        <w:rPr>
          <w:rFonts w:cs="Arial"/>
        </w:rPr>
        <w:t>. https://eresources.nlb.gov.sg/infopedia/articles/SIP_2021-11-15_173253.html?s=temasek%20polytechnic</w:t>
      </w:r>
    </w:p>
    <w:p w14:paraId="63A478C7" w14:textId="77777777" w:rsidR="00467D2A" w:rsidRPr="00467D2A" w:rsidRDefault="00467D2A" w:rsidP="009B5A59"/>
    <w:p w14:paraId="15140E82" w14:textId="37BA5883" w:rsidR="000C55A1" w:rsidRDefault="000C55A1" w:rsidP="009B5A59">
      <w:pPr>
        <w:pStyle w:val="Bibliography"/>
        <w:spacing w:line="240" w:lineRule="auto"/>
        <w:ind w:left="0" w:firstLine="0"/>
        <w:rPr>
          <w:rFonts w:cs="Arial"/>
        </w:rPr>
      </w:pPr>
      <w:r w:rsidRPr="000C55A1">
        <w:rPr>
          <w:rFonts w:cs="Arial"/>
        </w:rPr>
        <w:t xml:space="preserve">Lutz, W., Crespo Cuaresma, J., Kebede, E., Prskawetz, A., Sanderson, W. C., &amp; Striessnig, E. (2019). Education rather than age structure brings demographic dividend. </w:t>
      </w:r>
      <w:r w:rsidRPr="000C55A1">
        <w:rPr>
          <w:rFonts w:cs="Arial"/>
          <w:i/>
          <w:iCs/>
        </w:rPr>
        <w:t>Proceedings of the National Academy of Sciences</w:t>
      </w:r>
      <w:r w:rsidRPr="000C55A1">
        <w:rPr>
          <w:rFonts w:cs="Arial"/>
        </w:rPr>
        <w:t xml:space="preserve">, </w:t>
      </w:r>
      <w:r w:rsidRPr="000C55A1">
        <w:rPr>
          <w:rFonts w:cs="Arial"/>
          <w:i/>
          <w:iCs/>
        </w:rPr>
        <w:t>116</w:t>
      </w:r>
      <w:r w:rsidRPr="000C55A1">
        <w:rPr>
          <w:rFonts w:cs="Arial"/>
        </w:rPr>
        <w:t>(26), 12798–12803. https://doi.org/10.1073/pnas.1820362116</w:t>
      </w:r>
    </w:p>
    <w:p w14:paraId="02E27ADA" w14:textId="77777777" w:rsidR="00467D2A" w:rsidRPr="00467D2A" w:rsidRDefault="00467D2A" w:rsidP="009B5A59"/>
    <w:p w14:paraId="3D7D50D7" w14:textId="458FA7D4" w:rsidR="000C55A1" w:rsidRDefault="000C55A1" w:rsidP="009B5A59">
      <w:pPr>
        <w:pStyle w:val="Bibliography"/>
        <w:spacing w:line="240" w:lineRule="auto"/>
        <w:ind w:left="0" w:firstLine="0"/>
        <w:rPr>
          <w:rFonts w:cs="Arial"/>
        </w:rPr>
      </w:pPr>
      <w:r w:rsidRPr="000C55A1">
        <w:rPr>
          <w:rFonts w:cs="Arial"/>
        </w:rPr>
        <w:t xml:space="preserve">Lutz, W., Cuaresma, J. C., &amp; Sanderson, W. (2008). The Demography of Educational Attainment and Economic Growth. </w:t>
      </w:r>
      <w:r w:rsidRPr="000C55A1">
        <w:rPr>
          <w:rFonts w:cs="Arial"/>
          <w:i/>
          <w:iCs/>
        </w:rPr>
        <w:t>Science</w:t>
      </w:r>
      <w:r w:rsidRPr="000C55A1">
        <w:rPr>
          <w:rFonts w:cs="Arial"/>
        </w:rPr>
        <w:t xml:space="preserve">, </w:t>
      </w:r>
      <w:r w:rsidRPr="000C55A1">
        <w:rPr>
          <w:rFonts w:cs="Arial"/>
          <w:i/>
          <w:iCs/>
        </w:rPr>
        <w:t>319</w:t>
      </w:r>
      <w:r w:rsidRPr="000C55A1">
        <w:rPr>
          <w:rFonts w:cs="Arial"/>
        </w:rPr>
        <w:t>(5866), 1047–1048. https://doi.org/10.1126/science.1151753</w:t>
      </w:r>
    </w:p>
    <w:p w14:paraId="3326576C" w14:textId="77777777" w:rsidR="00467D2A" w:rsidRPr="00467D2A" w:rsidRDefault="00467D2A" w:rsidP="009B5A59"/>
    <w:p w14:paraId="0B932A1D" w14:textId="60F487D3" w:rsidR="000C55A1" w:rsidRDefault="000C55A1" w:rsidP="009B5A59">
      <w:pPr>
        <w:pStyle w:val="Bibliography"/>
        <w:spacing w:line="240" w:lineRule="auto"/>
        <w:ind w:left="0" w:firstLine="0"/>
        <w:rPr>
          <w:rFonts w:cs="Arial"/>
        </w:rPr>
      </w:pPr>
      <w:r w:rsidRPr="000C55A1">
        <w:rPr>
          <w:rFonts w:cs="Arial"/>
        </w:rPr>
        <w:t xml:space="preserve">Lutz, W., &amp; Kc, S. (2011). Global Human Capital: Integrating Education and Population. </w:t>
      </w:r>
      <w:r w:rsidRPr="000C55A1">
        <w:rPr>
          <w:rFonts w:cs="Arial"/>
          <w:i/>
          <w:iCs/>
        </w:rPr>
        <w:t>Science</w:t>
      </w:r>
      <w:r w:rsidRPr="000C55A1">
        <w:rPr>
          <w:rFonts w:cs="Arial"/>
        </w:rPr>
        <w:t xml:space="preserve">, </w:t>
      </w:r>
      <w:r w:rsidRPr="000C55A1">
        <w:rPr>
          <w:rFonts w:cs="Arial"/>
          <w:i/>
          <w:iCs/>
        </w:rPr>
        <w:t>333</w:t>
      </w:r>
      <w:r w:rsidRPr="000C55A1">
        <w:rPr>
          <w:rFonts w:cs="Arial"/>
        </w:rPr>
        <w:t>(6042), 587–592. https://doi.org/10.1126/science.1206964</w:t>
      </w:r>
    </w:p>
    <w:p w14:paraId="200B8F55" w14:textId="77777777" w:rsidR="00467D2A" w:rsidRPr="00467D2A" w:rsidRDefault="00467D2A" w:rsidP="009B5A59"/>
    <w:p w14:paraId="27C3647E" w14:textId="76867602" w:rsidR="000C55A1" w:rsidRDefault="000C55A1" w:rsidP="009B5A59">
      <w:pPr>
        <w:pStyle w:val="Bibliography"/>
        <w:spacing w:line="240" w:lineRule="auto"/>
        <w:ind w:left="0" w:firstLine="0"/>
        <w:rPr>
          <w:rFonts w:cs="Arial"/>
        </w:rPr>
      </w:pPr>
      <w:r w:rsidRPr="000C55A1">
        <w:rPr>
          <w:rFonts w:cs="Arial"/>
        </w:rPr>
        <w:lastRenderedPageBreak/>
        <w:t xml:space="preserve">Mason, A., &amp; Lee, R. (2006). </w:t>
      </w:r>
      <w:r w:rsidRPr="000C55A1">
        <w:rPr>
          <w:rFonts w:cs="Arial"/>
          <w:i/>
          <w:iCs/>
        </w:rPr>
        <w:t>Reform and support systems for the elderly in developing countries: Capturing the second demographic dividend</w:t>
      </w:r>
      <w:r w:rsidRPr="000C55A1">
        <w:rPr>
          <w:rFonts w:cs="Arial"/>
        </w:rPr>
        <w:t xml:space="preserve">. </w:t>
      </w:r>
      <w:r w:rsidRPr="000C55A1">
        <w:rPr>
          <w:rFonts w:cs="Arial"/>
          <w:i/>
          <w:iCs/>
        </w:rPr>
        <w:t>62</w:t>
      </w:r>
      <w:r w:rsidRPr="000C55A1">
        <w:rPr>
          <w:rFonts w:cs="Arial"/>
        </w:rPr>
        <w:t>(2), 11–35.</w:t>
      </w:r>
    </w:p>
    <w:p w14:paraId="1F6A2B88" w14:textId="77777777" w:rsidR="00467D2A" w:rsidRPr="00467D2A" w:rsidRDefault="00467D2A" w:rsidP="009B5A59"/>
    <w:p w14:paraId="0DF2F3F8" w14:textId="77777777" w:rsidR="000C55A1" w:rsidRPr="000C55A1" w:rsidRDefault="000C55A1" w:rsidP="009B5A59">
      <w:pPr>
        <w:pStyle w:val="Bibliography"/>
        <w:spacing w:line="240" w:lineRule="auto"/>
        <w:ind w:left="0" w:firstLine="0"/>
        <w:rPr>
          <w:rFonts w:cs="Arial"/>
        </w:rPr>
      </w:pPr>
      <w:r w:rsidRPr="000C55A1">
        <w:rPr>
          <w:rFonts w:cs="Arial"/>
        </w:rPr>
        <w:t xml:space="preserve">Nanyang Academy of Fine Arts. (2023). </w:t>
      </w:r>
      <w:r w:rsidRPr="000C55A1">
        <w:rPr>
          <w:rFonts w:cs="Arial"/>
          <w:i/>
          <w:iCs/>
        </w:rPr>
        <w:t>History | NAFA</w:t>
      </w:r>
      <w:r w:rsidRPr="000C55A1">
        <w:rPr>
          <w:rFonts w:cs="Arial"/>
        </w:rPr>
        <w:t>. Corporate Information - History. https://www.nafa.edu.sg/about-us/corporate-information/history</w:t>
      </w:r>
    </w:p>
    <w:p w14:paraId="3C861B6E" w14:textId="4FC37580" w:rsidR="000C55A1" w:rsidRDefault="000C55A1" w:rsidP="009B5A59">
      <w:pPr>
        <w:pStyle w:val="Bibliography"/>
        <w:spacing w:line="240" w:lineRule="auto"/>
        <w:ind w:left="0" w:firstLine="0"/>
        <w:rPr>
          <w:rFonts w:cs="Arial"/>
        </w:rPr>
      </w:pPr>
      <w:r w:rsidRPr="000C55A1">
        <w:rPr>
          <w:rFonts w:cs="Arial"/>
        </w:rPr>
        <w:t xml:space="preserve">Nanyang Polytechnic. (n.d.). </w:t>
      </w:r>
      <w:r w:rsidRPr="000C55A1">
        <w:rPr>
          <w:rFonts w:cs="Arial"/>
          <w:i/>
          <w:iCs/>
        </w:rPr>
        <w:t>NYP Facts</w:t>
      </w:r>
      <w:r w:rsidRPr="000C55A1">
        <w:rPr>
          <w:rFonts w:cs="Arial"/>
        </w:rPr>
        <w:t>. Retrieved May 5, 2022, from https://www.nyp.edu.sg/about-nyp/nyp-overview/who-we-are/about-nyp.html</w:t>
      </w:r>
    </w:p>
    <w:p w14:paraId="187F89B7" w14:textId="77777777" w:rsidR="009B5A59" w:rsidRPr="009B5A59" w:rsidRDefault="009B5A59" w:rsidP="009B5A59"/>
    <w:p w14:paraId="7FD7167C" w14:textId="6FD2FFA1" w:rsidR="000C55A1" w:rsidRDefault="000C55A1" w:rsidP="009B5A59">
      <w:pPr>
        <w:pStyle w:val="Bibliography"/>
        <w:spacing w:line="240" w:lineRule="auto"/>
        <w:ind w:left="0" w:firstLine="0"/>
        <w:rPr>
          <w:rFonts w:cs="Arial"/>
        </w:rPr>
      </w:pPr>
      <w:r w:rsidRPr="000C55A1">
        <w:rPr>
          <w:rFonts w:cs="Arial"/>
        </w:rPr>
        <w:t xml:space="preserve">Ong, Y. K. (2022, March 9). </w:t>
      </w:r>
      <w:r w:rsidRPr="000C55A1">
        <w:rPr>
          <w:rFonts w:cs="Arial"/>
          <w:i/>
          <w:iCs/>
        </w:rPr>
        <w:t>MOH | News Highlights</w:t>
      </w:r>
      <w:r w:rsidRPr="000C55A1">
        <w:rPr>
          <w:rFonts w:cs="Arial"/>
        </w:rPr>
        <w:t>. SPEECH BY MR ONG YE KUNG, MINISTER FOR HEALTH, AT THE MINISTRY OF HEALTH COMMITTEE OF SUPPLY DEBATE 2022. https://www.moh.gov.sg/news-highlights/details/speech-by-mr-ong-ye-kung-minister-for-health-at-the-ministry-of-health-committee-of-supply-debate-2022</w:t>
      </w:r>
    </w:p>
    <w:p w14:paraId="0CA5AEA4" w14:textId="77777777" w:rsidR="009B5A59" w:rsidRPr="009B5A59" w:rsidRDefault="009B5A59" w:rsidP="009B5A59"/>
    <w:p w14:paraId="798696D8" w14:textId="4B297376" w:rsidR="000C55A1" w:rsidRDefault="000C55A1" w:rsidP="009B5A59">
      <w:pPr>
        <w:pStyle w:val="Bibliography"/>
        <w:spacing w:line="240" w:lineRule="auto"/>
        <w:ind w:left="0" w:firstLine="0"/>
        <w:rPr>
          <w:rFonts w:cs="Arial"/>
        </w:rPr>
      </w:pPr>
      <w:r w:rsidRPr="000C55A1">
        <w:rPr>
          <w:rFonts w:cs="Arial"/>
        </w:rPr>
        <w:t xml:space="preserve">Rentería, E., Souto, G., Mejía-Guevara, I., &amp; Patxot, C. (2016). The Effect of Education on the Demographic Dividend: The Effect of Education on the Demographic Dividend. </w:t>
      </w:r>
      <w:r w:rsidRPr="000C55A1">
        <w:rPr>
          <w:rFonts w:cs="Arial"/>
          <w:i/>
          <w:iCs/>
        </w:rPr>
        <w:t>Population and Development Review</w:t>
      </w:r>
      <w:r w:rsidRPr="000C55A1">
        <w:rPr>
          <w:rFonts w:cs="Arial"/>
        </w:rPr>
        <w:t xml:space="preserve">, </w:t>
      </w:r>
      <w:r w:rsidRPr="000C55A1">
        <w:rPr>
          <w:rFonts w:cs="Arial"/>
          <w:i/>
          <w:iCs/>
        </w:rPr>
        <w:t>42</w:t>
      </w:r>
      <w:r w:rsidRPr="000C55A1">
        <w:rPr>
          <w:rFonts w:cs="Arial"/>
        </w:rPr>
        <w:t>(4), 651–671. https://doi.org/10.1111/padr.12017</w:t>
      </w:r>
    </w:p>
    <w:p w14:paraId="103F6451" w14:textId="77777777" w:rsidR="009B5A59" w:rsidRPr="009B5A59" w:rsidRDefault="009B5A59" w:rsidP="009B5A59"/>
    <w:p w14:paraId="3B55C9CA" w14:textId="6AF820DC" w:rsidR="000C55A1" w:rsidRDefault="000C55A1" w:rsidP="009B5A59">
      <w:pPr>
        <w:pStyle w:val="Bibliography"/>
        <w:spacing w:line="240" w:lineRule="auto"/>
        <w:ind w:left="0" w:firstLine="0"/>
        <w:rPr>
          <w:rFonts w:cs="Arial"/>
        </w:rPr>
      </w:pPr>
      <w:r w:rsidRPr="000C55A1">
        <w:rPr>
          <w:rFonts w:cs="Arial"/>
        </w:rPr>
        <w:t xml:space="preserve">Republic Polytechnic. (n.d.). </w:t>
      </w:r>
      <w:r w:rsidRPr="000C55A1">
        <w:rPr>
          <w:rFonts w:cs="Arial"/>
          <w:i/>
          <w:iCs/>
        </w:rPr>
        <w:t>Historical Milestones</w:t>
      </w:r>
      <w:r w:rsidRPr="000C55A1">
        <w:rPr>
          <w:rFonts w:cs="Arial"/>
        </w:rPr>
        <w:t>. RP Main Site. Retrieved May 5, 2022, from https://www.rp.edu.sg/about-us/who-we-are/historical-milestones</w:t>
      </w:r>
    </w:p>
    <w:p w14:paraId="4C1182EB" w14:textId="77777777" w:rsidR="009B5A59" w:rsidRPr="009B5A59" w:rsidRDefault="009B5A59" w:rsidP="009B5A59"/>
    <w:p w14:paraId="652B24D2" w14:textId="56D859E5" w:rsidR="000C55A1" w:rsidRDefault="000C55A1" w:rsidP="009B5A59">
      <w:pPr>
        <w:pStyle w:val="Bibliography"/>
        <w:spacing w:line="240" w:lineRule="auto"/>
        <w:ind w:left="0" w:firstLine="0"/>
        <w:rPr>
          <w:rFonts w:cs="Arial"/>
        </w:rPr>
      </w:pPr>
      <w:r w:rsidRPr="000C55A1">
        <w:rPr>
          <w:rFonts w:cs="Arial"/>
        </w:rPr>
        <w:t xml:space="preserve">Sim, C. (2014, September 16). </w:t>
      </w:r>
      <w:r w:rsidRPr="000C55A1">
        <w:rPr>
          <w:rFonts w:cs="Arial"/>
          <w:i/>
          <w:iCs/>
        </w:rPr>
        <w:t>Singapore Management University | Infopedia</w:t>
      </w:r>
      <w:r w:rsidRPr="000C55A1">
        <w:rPr>
          <w:rFonts w:cs="Arial"/>
        </w:rPr>
        <w:t>. Singapore Infopedia. https://eresources.nlb.gov.sg/infopedia/articles/SIP_500_2005-01-19.html</w:t>
      </w:r>
    </w:p>
    <w:p w14:paraId="44FD8EF1" w14:textId="77777777" w:rsidR="009B5A59" w:rsidRPr="009B5A59" w:rsidRDefault="009B5A59" w:rsidP="009B5A59"/>
    <w:p w14:paraId="43306F58" w14:textId="4E618AD7" w:rsidR="000C55A1" w:rsidRDefault="000C55A1" w:rsidP="009B5A59">
      <w:pPr>
        <w:pStyle w:val="Bibliography"/>
        <w:spacing w:line="240" w:lineRule="auto"/>
        <w:ind w:left="0" w:firstLine="0"/>
        <w:rPr>
          <w:rFonts w:cs="Arial"/>
        </w:rPr>
      </w:pPr>
      <w:r w:rsidRPr="000C55A1">
        <w:rPr>
          <w:rFonts w:cs="Arial"/>
        </w:rPr>
        <w:t xml:space="preserve">Singapore Department of Statistics. (2021, May 25). </w:t>
      </w:r>
      <w:r w:rsidRPr="000C55A1">
        <w:rPr>
          <w:rFonts w:cs="Arial"/>
          <w:i/>
          <w:iCs/>
        </w:rPr>
        <w:t>(DOS) | SingStat Table Builder – Life Expectancy By Sex</w:t>
      </w:r>
      <w:r w:rsidRPr="000C55A1">
        <w:rPr>
          <w:rFonts w:cs="Arial"/>
        </w:rPr>
        <w:t>. https://tablebuilder.singstat.gov.sg/table/TS/M810501</w:t>
      </w:r>
    </w:p>
    <w:p w14:paraId="0F184B66" w14:textId="77777777" w:rsidR="009B5A59" w:rsidRPr="009B5A59" w:rsidRDefault="009B5A59" w:rsidP="009B5A59"/>
    <w:p w14:paraId="342C61C1" w14:textId="207DAB4D" w:rsidR="000C55A1" w:rsidRDefault="000C55A1" w:rsidP="009B5A59">
      <w:pPr>
        <w:pStyle w:val="Bibliography"/>
        <w:spacing w:line="240" w:lineRule="auto"/>
        <w:ind w:left="0" w:firstLine="0"/>
        <w:rPr>
          <w:rFonts w:cs="Arial"/>
        </w:rPr>
      </w:pPr>
      <w:r w:rsidRPr="000C55A1">
        <w:rPr>
          <w:rFonts w:cs="Arial"/>
        </w:rPr>
        <w:t xml:space="preserve">Singapore Department of Statistics, &amp; Immigration and Checkpoints Authority. (2022, March 3). </w:t>
      </w:r>
      <w:r w:rsidRPr="000C55A1">
        <w:rPr>
          <w:rFonts w:cs="Arial"/>
          <w:i/>
          <w:iCs/>
        </w:rPr>
        <w:t>(DOS) | SingStat Table Builder – Births And Fertility Rates</w:t>
      </w:r>
      <w:r w:rsidRPr="000C55A1">
        <w:rPr>
          <w:rFonts w:cs="Arial"/>
        </w:rPr>
        <w:t>. https://tablebuilder.singstat.gov.sg/table/TS/M810091</w:t>
      </w:r>
    </w:p>
    <w:p w14:paraId="10216B10" w14:textId="77777777" w:rsidR="009B5A59" w:rsidRPr="009B5A59" w:rsidRDefault="009B5A59" w:rsidP="009B5A59"/>
    <w:p w14:paraId="25AEFA56" w14:textId="6D15003A" w:rsidR="000C55A1" w:rsidRDefault="000C55A1" w:rsidP="009B5A59">
      <w:pPr>
        <w:pStyle w:val="Bibliography"/>
        <w:spacing w:line="240" w:lineRule="auto"/>
        <w:ind w:left="0" w:firstLine="0"/>
        <w:rPr>
          <w:rFonts w:cs="Arial"/>
        </w:rPr>
      </w:pPr>
      <w:r w:rsidRPr="000C55A1">
        <w:rPr>
          <w:rFonts w:cs="Arial"/>
        </w:rPr>
        <w:t xml:space="preserve">Singapore Institute of Technology. (2014, March 28). </w:t>
      </w:r>
      <w:r w:rsidRPr="000C55A1">
        <w:rPr>
          <w:rFonts w:cs="Arial"/>
          <w:i/>
          <w:iCs/>
        </w:rPr>
        <w:t>SIT is Officially Singapore’s New Autonomous University</w:t>
      </w:r>
      <w:r w:rsidRPr="000C55A1">
        <w:rPr>
          <w:rFonts w:cs="Arial"/>
        </w:rPr>
        <w:t>. SIT Is Officially Singapore’s New Autonomous University. https://www.singaporetech.edu.sg/digitalnewsroom/sit-is-officially-singapores-new-autonomous-university/</w:t>
      </w:r>
    </w:p>
    <w:p w14:paraId="59B6B2D8" w14:textId="77777777" w:rsidR="009B5A59" w:rsidRPr="009B5A59" w:rsidRDefault="009B5A59" w:rsidP="009B5A59"/>
    <w:p w14:paraId="44C68B2F" w14:textId="50F7F963" w:rsidR="000C55A1" w:rsidRDefault="000C55A1" w:rsidP="009B5A59">
      <w:pPr>
        <w:pStyle w:val="Bibliography"/>
        <w:spacing w:line="240" w:lineRule="auto"/>
        <w:ind w:left="0" w:firstLine="0"/>
        <w:rPr>
          <w:rFonts w:cs="Arial"/>
        </w:rPr>
      </w:pPr>
      <w:r w:rsidRPr="000C55A1">
        <w:rPr>
          <w:rFonts w:cs="Arial"/>
        </w:rPr>
        <w:lastRenderedPageBreak/>
        <w:t xml:space="preserve">Singapore University of Design and Technology. (2022). </w:t>
      </w:r>
      <w:r w:rsidRPr="000C55A1">
        <w:rPr>
          <w:rFonts w:cs="Arial"/>
          <w:i/>
          <w:iCs/>
        </w:rPr>
        <w:t>SUTD - Our Story -</w:t>
      </w:r>
      <w:r w:rsidRPr="000C55A1">
        <w:rPr>
          <w:rFonts w:cs="Arial"/>
        </w:rPr>
        <w:t>. SUTD - Our Story. https://milestones.sutd.edu.sg/</w:t>
      </w:r>
    </w:p>
    <w:p w14:paraId="54271A8A" w14:textId="77777777" w:rsidR="009B5A59" w:rsidRPr="009B5A59" w:rsidRDefault="009B5A59" w:rsidP="009B5A59"/>
    <w:p w14:paraId="0FD67107" w14:textId="7B31F639" w:rsidR="000C55A1" w:rsidRDefault="000C55A1" w:rsidP="009B5A59">
      <w:pPr>
        <w:pStyle w:val="Bibliography"/>
        <w:spacing w:line="240" w:lineRule="auto"/>
        <w:ind w:left="0" w:firstLine="0"/>
        <w:rPr>
          <w:rFonts w:cs="Arial"/>
        </w:rPr>
      </w:pPr>
      <w:r w:rsidRPr="000C55A1">
        <w:rPr>
          <w:rFonts w:cs="Arial"/>
        </w:rPr>
        <w:t xml:space="preserve">Singapore University of Social Sciences. (2022). Our Milestones. </w:t>
      </w:r>
      <w:r w:rsidRPr="000C55A1">
        <w:rPr>
          <w:rFonts w:cs="Arial"/>
          <w:i/>
          <w:iCs/>
        </w:rPr>
        <w:t>Singapore University of Social Sciences</w:t>
      </w:r>
      <w:r w:rsidRPr="000C55A1">
        <w:rPr>
          <w:rFonts w:cs="Arial"/>
        </w:rPr>
        <w:t>. https://www.suss.edu.sg/about-suss/who-we-are/milestones</w:t>
      </w:r>
    </w:p>
    <w:p w14:paraId="46BFDD98" w14:textId="77777777" w:rsidR="009B5A59" w:rsidRPr="009B5A59" w:rsidRDefault="009B5A59" w:rsidP="009B5A59"/>
    <w:p w14:paraId="30BAE30D" w14:textId="49A4F7D8" w:rsidR="000C55A1" w:rsidRDefault="000C55A1" w:rsidP="009B5A59">
      <w:pPr>
        <w:pStyle w:val="Bibliography"/>
        <w:spacing w:line="240" w:lineRule="auto"/>
        <w:ind w:left="0" w:firstLine="0"/>
        <w:rPr>
          <w:rFonts w:cs="Arial"/>
        </w:rPr>
      </w:pPr>
      <w:r w:rsidRPr="000C55A1">
        <w:rPr>
          <w:rFonts w:cs="Arial"/>
        </w:rPr>
        <w:t xml:space="preserve">Temasek Polytechnic. (n.d.). </w:t>
      </w:r>
      <w:r w:rsidRPr="000C55A1">
        <w:rPr>
          <w:rFonts w:cs="Arial"/>
          <w:i/>
          <w:iCs/>
        </w:rPr>
        <w:t>History and Corporate Profile</w:t>
      </w:r>
      <w:r w:rsidRPr="000C55A1">
        <w:rPr>
          <w:rFonts w:cs="Arial"/>
        </w:rPr>
        <w:t>. Temasek Polytechnic. Retrieved May 5, 2022, from https://www.tp.edu.sg/about-tp/corporate-profile.html</w:t>
      </w:r>
    </w:p>
    <w:p w14:paraId="58C4FB53" w14:textId="77777777" w:rsidR="009B5A59" w:rsidRPr="009B5A59" w:rsidRDefault="009B5A59" w:rsidP="009B5A59"/>
    <w:p w14:paraId="0CA52478" w14:textId="17EA8189" w:rsidR="000C55A1" w:rsidRDefault="000C55A1" w:rsidP="009B5A59">
      <w:pPr>
        <w:pStyle w:val="Bibliography"/>
        <w:spacing w:line="240" w:lineRule="auto"/>
        <w:ind w:left="0" w:firstLine="0"/>
        <w:rPr>
          <w:rFonts w:cs="Arial"/>
        </w:rPr>
      </w:pPr>
      <w:r w:rsidRPr="000C55A1">
        <w:rPr>
          <w:rFonts w:cs="Arial"/>
        </w:rPr>
        <w:t xml:space="preserve">United Nations department of Economic and Social Affairs, P. D. (2022). </w:t>
      </w:r>
      <w:r w:rsidRPr="000C55A1">
        <w:rPr>
          <w:rFonts w:cs="Arial"/>
          <w:i/>
          <w:iCs/>
        </w:rPr>
        <w:t>World Population Prospects—Population Division—United Nations</w:t>
      </w:r>
      <w:r w:rsidRPr="000C55A1">
        <w:rPr>
          <w:rFonts w:cs="Arial"/>
        </w:rPr>
        <w:t>. World Population Prospects 2022. https://population.un.org/wpp/Download/Standard/MostUsed/</w:t>
      </w:r>
    </w:p>
    <w:p w14:paraId="1A782B34" w14:textId="77777777" w:rsidR="009B5A59" w:rsidRPr="009B5A59" w:rsidRDefault="009B5A59" w:rsidP="009B5A59"/>
    <w:p w14:paraId="3674D2A8" w14:textId="77777777" w:rsidR="000C55A1" w:rsidRPr="000C55A1" w:rsidRDefault="000C55A1" w:rsidP="009B5A59">
      <w:pPr>
        <w:pStyle w:val="Bibliography"/>
        <w:spacing w:line="240" w:lineRule="auto"/>
        <w:ind w:left="0" w:firstLine="0"/>
        <w:rPr>
          <w:rFonts w:cs="Arial"/>
        </w:rPr>
      </w:pPr>
      <w:r w:rsidRPr="000C55A1">
        <w:rPr>
          <w:rFonts w:cs="Arial"/>
        </w:rPr>
        <w:t xml:space="preserve">Wongboonsin, P., &amp; Wongboonsin, K. (2014). Demographic Dividend and the Future of Asia. In </w:t>
      </w:r>
      <w:r w:rsidRPr="000C55A1">
        <w:rPr>
          <w:rFonts w:cs="Arial"/>
          <w:i/>
          <w:iCs/>
        </w:rPr>
        <w:t>Transformation of the Intimate and the Public in Asian Modernity</w:t>
      </w:r>
      <w:r w:rsidRPr="000C55A1">
        <w:rPr>
          <w:rFonts w:cs="Arial"/>
        </w:rPr>
        <w:t xml:space="preserve"> (pp. 91–115). Brill.</w:t>
      </w:r>
    </w:p>
    <w:p w14:paraId="5D28602C" w14:textId="0CF1B501" w:rsidR="00A9501F" w:rsidRPr="005C6C38" w:rsidRDefault="005C6C38" w:rsidP="009B5A59">
      <w:pPr>
        <w:spacing w:line="240" w:lineRule="auto"/>
        <w:rPr>
          <w:rFonts w:cs="Arial"/>
        </w:rPr>
      </w:pPr>
      <w:r>
        <w:rPr>
          <w:rFonts w:cs="Arial"/>
        </w:rPr>
        <w:fldChar w:fldCharType="end"/>
      </w:r>
    </w:p>
    <w:sectPr w:rsidR="00A9501F" w:rsidRPr="005C6C38" w:rsidSect="00B53759">
      <w:headerReference w:type="default" r:id="rId19"/>
      <w:footerReference w:type="even" r:id="rId20"/>
      <w:footerReference w:type="default" r:id="rId21"/>
      <w:footerReference w:type="first" r:id="rId22"/>
      <w:pgSz w:w="11906" w:h="16838" w:code="9"/>
      <w:pgMar w:top="1440" w:right="1416" w:bottom="1440" w:left="1418" w:header="720" w:footer="9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BDCA" w14:textId="77777777" w:rsidR="00020306" w:rsidRDefault="00020306" w:rsidP="00AF2B8D">
      <w:pPr>
        <w:spacing w:line="240" w:lineRule="auto"/>
      </w:pPr>
      <w:r>
        <w:separator/>
      </w:r>
    </w:p>
    <w:p w14:paraId="095DD138" w14:textId="77777777" w:rsidR="00020306" w:rsidRDefault="00020306"/>
  </w:endnote>
  <w:endnote w:type="continuationSeparator" w:id="0">
    <w:p w14:paraId="1DD17982" w14:textId="77777777" w:rsidR="00020306" w:rsidRDefault="00020306" w:rsidP="00AF2B8D">
      <w:pPr>
        <w:spacing w:line="240" w:lineRule="auto"/>
      </w:pPr>
      <w:r>
        <w:continuationSeparator/>
      </w:r>
    </w:p>
    <w:p w14:paraId="082F4520" w14:textId="77777777" w:rsidR="00020306" w:rsidRDefault="0002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73EA" w14:textId="77777777" w:rsidR="00467D2A" w:rsidRDefault="00467D2A" w:rsidP="008B75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6A0D7" w14:textId="77777777" w:rsidR="00467D2A" w:rsidRDefault="00467D2A" w:rsidP="008B75D4">
    <w:pPr>
      <w:pStyle w:val="Footer"/>
      <w:ind w:right="360"/>
    </w:pPr>
  </w:p>
  <w:p w14:paraId="73721879" w14:textId="77777777" w:rsidR="00467D2A" w:rsidRDefault="00467D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195B" w14:textId="066AD89C" w:rsidR="00467D2A" w:rsidRPr="00CE56E9" w:rsidRDefault="00467D2A" w:rsidP="00461A39">
    <w:pPr>
      <w:pStyle w:val="Footer"/>
      <w:ind w:right="360"/>
      <w:jc w:val="center"/>
      <w:rPr>
        <w:rFonts w:ascii="Arial" w:hAnsi="Arial" w:cs="Arial"/>
        <w:sz w:val="20"/>
        <w:szCs w:val="20"/>
      </w:rPr>
    </w:pPr>
    <w:r>
      <w:rPr>
        <w:rFonts w:ascii="Arial" w:hAnsi="Arial" w:cs="Arial"/>
        <w:sz w:val="20"/>
        <w:szCs w:val="20"/>
      </w:rPr>
      <w:t>Decomposing Economic Support Ratio for Singapore by Education and Age Structure by Eddie Choo and Christopher Gee</w:t>
    </w:r>
  </w:p>
  <w:p w14:paraId="6DCAA322" w14:textId="55593278" w:rsidR="00467D2A" w:rsidRPr="00461A39" w:rsidRDefault="00467D2A" w:rsidP="00461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B76B" w14:textId="45F3C019" w:rsidR="00467D2A" w:rsidRPr="00CE56E9" w:rsidRDefault="00467D2A" w:rsidP="00CE56E9">
    <w:pPr>
      <w:pStyle w:val="Footer"/>
      <w:ind w:right="360"/>
      <w:jc w:val="center"/>
      <w:rPr>
        <w:rFonts w:ascii="Arial" w:hAnsi="Arial" w:cs="Arial"/>
        <w:sz w:val="20"/>
        <w:szCs w:val="20"/>
      </w:rPr>
    </w:pPr>
    <w:r>
      <w:rPr>
        <w:rFonts w:ascii="Arial" w:hAnsi="Arial" w:cs="Arial"/>
        <w:sz w:val="20"/>
        <w:szCs w:val="20"/>
      </w:rPr>
      <w:t>Decomposing Economic Support Ratio for Singapore by Education and Age Structure by Eddie Choo and Christopher Gee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2AF6" w14:textId="77777777" w:rsidR="00020306" w:rsidRDefault="00020306" w:rsidP="00AF2B8D">
      <w:pPr>
        <w:spacing w:line="240" w:lineRule="auto"/>
      </w:pPr>
      <w:r>
        <w:separator/>
      </w:r>
    </w:p>
    <w:p w14:paraId="770CECD8" w14:textId="77777777" w:rsidR="00020306" w:rsidRDefault="00020306"/>
  </w:footnote>
  <w:footnote w:type="continuationSeparator" w:id="0">
    <w:p w14:paraId="4A9B90D3" w14:textId="77777777" w:rsidR="00020306" w:rsidRDefault="00020306" w:rsidP="00AF2B8D">
      <w:pPr>
        <w:spacing w:line="240" w:lineRule="auto"/>
      </w:pPr>
      <w:r>
        <w:continuationSeparator/>
      </w:r>
    </w:p>
    <w:p w14:paraId="4D0FCC9D" w14:textId="77777777" w:rsidR="00020306" w:rsidRDefault="00020306"/>
  </w:footnote>
  <w:footnote w:id="1">
    <w:p w14:paraId="308870F7" w14:textId="5C046855"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{"citationID":"UTtxU8LV","properties":{"formattedCitation":"(Loo, 2018)","plainCitation":"(Loo, 2018)","noteIndex":1},"citationItems":[{"id":751,"uris":["http://zotero.org/users/7533545/items/YGQ4RUGR"],"itemData":{"id":751,"type":"post-weblog","container-title":"Singapore Infopedia","title":"Singapore Polytechnic","URL":"https://eresources.nlb.gov.sg/infopedia/articles/SIP_2019-04-15_102439.html","author":[{"family":"Loo","given":"Janice"}],"accessed":{"date-parts":[["2022",5,4]]},"issued":{"date-parts":[["2018",7]]}}}],"schema":"https://github.com/citation-style-language/schema/raw/master/csl-citation.json"} </w:instrText>
      </w:r>
      <w:r w:rsidRPr="00B465BC">
        <w:rPr>
          <w:rFonts w:cs="Arial"/>
        </w:rPr>
        <w:fldChar w:fldCharType="separate"/>
      </w:r>
      <w:r w:rsidRPr="00B465BC">
        <w:rPr>
          <w:rFonts w:cs="Arial"/>
        </w:rPr>
        <w:t>(Loo, 2018)</w:t>
      </w:r>
      <w:r w:rsidRPr="00B465BC">
        <w:rPr>
          <w:rFonts w:cs="Arial"/>
        </w:rPr>
        <w:fldChar w:fldCharType="end"/>
      </w:r>
    </w:p>
  </w:footnote>
  <w:footnote w:id="2">
    <w:p w14:paraId="7D627D75" w14:textId="6065648E"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{"citationID":"7Fvh1O1C","properties":{"formattedCitation":"(Loo, 2021)","plainCitation":"(Loo, 2021)","noteIndex":2},"citationItems":[{"id":750,"uris":["http://zotero.org/users/7533545/items/IQMZIYXG"],"itemData":{"id":750,"type":"post-weblog","title":"Ngee Ann Polytechnic","URL":"https://eresources.nlb.gov.sg/infopedia/articles/SIP_2021-11-15_173253.html?s=temasek%20polytechnic","author":[{"family":"Loo","given":"Janice"}],"accessed":{"date-parts":[["2022",5,4]]},"issued":{"date-parts":[["2021",1]]}}}],"schema":"https://github.com/citation-style-language/schema/raw/master/csl-citation.json"} </w:instrText>
      </w:r>
      <w:r w:rsidRPr="00B465BC">
        <w:rPr>
          <w:rFonts w:cs="Arial"/>
        </w:rPr>
        <w:fldChar w:fldCharType="separate"/>
      </w:r>
      <w:r w:rsidRPr="00B465BC">
        <w:rPr>
          <w:rFonts w:cs="Arial"/>
        </w:rPr>
        <w:t>(Loo, 2021)</w:t>
      </w:r>
      <w:r w:rsidRPr="00B465BC">
        <w:rPr>
          <w:rFonts w:cs="Arial"/>
        </w:rPr>
        <w:fldChar w:fldCharType="end"/>
      </w:r>
    </w:p>
  </w:footnote>
  <w:footnote w:id="3">
    <w:p w14:paraId="4673E784" w14:textId="0AD606D2"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{"citationID":"0N8Q5xZN","properties":{"formattedCitation":"(Temasek Polytechnic, n.d.)","plainCitation":"(Temasek Polytechnic, n.d.)","noteIndex":3},"citationItems":[{"id":745,"uris":["http://zotero.org/users/7533545/items/L48PITJZ"],"itemData":{"id":745,"type":"webpage","abstract":"Temasek Polytechnic is a leading institution of higher learning which has gained a reputation for being a vibrant polytechnic whilst being at the forefront of innovative teaching and learning. TP offers full-time and part-time diploma courses in applied science, business, design, engineering, humanities and social sciences and informatics and IT.","container-title":"Temasek Polytechnic","language":"en-US","title":"History and Corporate Profile","URL":"https://www.tp.edu.sg/about-tp/corporate-profile.html","author":[{"family":"Temasek Polytechnic","given":""}],"accessed":{"date-parts":[["2022",5,5]]}}}],"schema":"https://github.com/citation-style-language/schema/raw/master/csl-citation.json"} </w:instrText>
      </w:r>
      <w:r w:rsidRPr="00B465BC">
        <w:rPr>
          <w:rFonts w:cs="Arial"/>
        </w:rPr>
        <w:fldChar w:fldCharType="separate"/>
      </w:r>
      <w:r w:rsidRPr="00B465BC">
        <w:rPr>
          <w:rFonts w:cs="Arial"/>
        </w:rPr>
        <w:t>(Temasek Polytechnic, n.d.)</w:t>
      </w:r>
      <w:r w:rsidRPr="00B465BC">
        <w:rPr>
          <w:rFonts w:cs="Arial"/>
        </w:rPr>
        <w:fldChar w:fldCharType="end"/>
      </w:r>
    </w:p>
  </w:footnote>
  <w:footnote w:id="4">
    <w:p w14:paraId="67859016" w14:textId="64BF1249"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{"citationID":"6Oxr66tc","properties":{"formattedCitation":"(Nanyang Polytechnic, n.d.)","plainCitation":"(Nanyang Polytechnic, n.d.)","noteIndex":4},"citationItems":[{"id":744,"uris":["http://zotero.org/users/7533545/items/IJNSKCTV"],"itemData":{"id":744,"type":"webpage","abstract":"This page highlights the key milestones, statistics and organisational achievements of NYP.","title":"NYP Facts","URL":"https://www.nyp.edu.sg/about-nyp/nyp-overview/who-we-are/about-nyp.html","author":[{"family":"Nanyang Polytechnic","given":""}],"accessed":{"date-parts":[["2022",5,5]]}}}],"schema":"https://github.com/citation-style-language/schema/raw/master/csl-citation.json"} </w:instrText>
      </w:r>
      <w:r w:rsidRPr="00B465BC">
        <w:rPr>
          <w:rFonts w:cs="Arial"/>
        </w:rPr>
        <w:fldChar w:fldCharType="separate"/>
      </w:r>
      <w:r w:rsidRPr="00B465BC">
        <w:rPr>
          <w:rFonts w:cs="Arial"/>
        </w:rPr>
        <w:t>(Nanyang Polytechnic, n.d.)</w:t>
      </w:r>
      <w:r w:rsidRPr="00B465BC">
        <w:rPr>
          <w:rFonts w:cs="Arial"/>
        </w:rPr>
        <w:fldChar w:fldCharType="end"/>
      </w:r>
    </w:p>
  </w:footnote>
  <w:footnote w:id="5">
    <w:p w14:paraId="09F593BB" w14:textId="59BB2CA9"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{"citationID":"kaoV1psX","properties":{"formattedCitation":"(Republic Polytechnic, n.d.)","plainCitation":"(Republic Polytechnic, n.d.)","noteIndex":5},"citationItems":[{"id":743,"uris":["http://zotero.org/users/7533545/items/Z2LGEQFU"],"itemData":{"id":743,"type":"webpage","container-title":"RP Main Site","title":"Historical Milestones","URL":"https://www.rp.edu.sg/about-us/who-we-are/historical-milestones","author":[{"family":"Republic Polytechnic","given":""}],"accessed":{"date-parts":[["2022",5,5]]}}}],"schema":"https://github.com/citation-style-language/schema/raw/master/csl-citation.json"} </w:instrText>
      </w:r>
      <w:r w:rsidRPr="00B465BC">
        <w:rPr>
          <w:rFonts w:cs="Arial"/>
        </w:rPr>
        <w:fldChar w:fldCharType="separate"/>
      </w:r>
      <w:r w:rsidRPr="00B465BC">
        <w:rPr>
          <w:rFonts w:cs="Arial"/>
        </w:rPr>
        <w:t>(Republic Polytechnic, n.d.)</w:t>
      </w:r>
      <w:r w:rsidRPr="00B465BC">
        <w:rPr>
          <w:rFonts w:cs="Arial"/>
        </w:rPr>
        <w:fldChar w:fldCharType="end"/>
      </w:r>
    </w:p>
  </w:footnote>
  <w:footnote w:id="6">
    <w:p w14:paraId="2D312A74" w14:textId="4EC04A95" w:rsidR="00467D2A" w:rsidRPr="00B465BC" w:rsidRDefault="00467D2A" w:rsidP="00A12150">
      <w:pPr>
        <w:pStyle w:val="FootnoteText"/>
        <w:rPr>
          <w:rFonts w:cs="Arial"/>
          <w:lang w:val="en-US"/>
        </w:rPr>
      </w:pPr>
      <w:r w:rsidRPr="00B465BC">
        <w:rPr>
          <w:rStyle w:val="FootnoteReference"/>
          <w:rFonts w:cs="Arial"/>
        </w:rPr>
        <w:footnoteRef/>
      </w:r>
      <w:r w:rsidRPr="00B465BC">
        <w:rPr>
          <w:rFonts w:cs="Arial"/>
          <w:lang w:val="en-US"/>
        </w:rPr>
        <w:t xml:space="preserve"> </w:t>
      </w:r>
      <w:r w:rsidRPr="00B465BC">
        <w:rPr>
          <w:rFonts w:cs="Arial"/>
          <w:lang w:val="en-US"/>
        </w:rPr>
        <w:fldChar w:fldCharType="begin"/>
      </w:r>
      <w:r>
        <w:rPr>
          <w:rFonts w:cs="Arial"/>
          <w:lang w:val="en-US"/>
        </w:rPr>
        <w:instrText xml:space="preserve"> ADDIN ZOTERO_ITEM CSL_CITATION {"citationID":"BNXTBjN6","properties":{"formattedCitation":"(Kusolpalin, 2016)","plainCitation":"(Kusolpalin, 2016)","noteIndex":6},"citationItems":[{"id":752,"uris":["http://zotero.org/users/7533545/items/Z4D5HZAC"],"itemData":{"id":752,"type":"post-weblog","container-title":"Singapore Infopedia","title":"National University of Singapore","URL":"https://eresources.nlb.gov.sg/infopedia/articles/SIP_50_2005-01-17.html?%20Higher--Singapore","author":[{"family":"Kusolpalin","given":"Pattarin"}],"accessed":{"date-parts":[["2022",5,4]]},"issued":{"date-parts":[["2016",2,29]]}}}],"schema":"https://github.com/citation-style-language/schema/raw/master/csl-citation.json"} </w:instrText>
      </w:r>
      <w:r w:rsidRPr="00B465BC">
        <w:rPr>
          <w:rFonts w:cs="Arial"/>
          <w:lang w:val="en-US"/>
        </w:rPr>
        <w:fldChar w:fldCharType="separate"/>
      </w:r>
      <w:r w:rsidRPr="00B465BC">
        <w:rPr>
          <w:rFonts w:cs="Arial"/>
        </w:rPr>
        <w:t>(Kusolpalin, 2016)</w:t>
      </w:r>
      <w:r w:rsidRPr="00B465BC">
        <w:rPr>
          <w:rFonts w:cs="Arial"/>
          <w:lang w:val="en-US"/>
        </w:rPr>
        <w:fldChar w:fldCharType="end"/>
      </w:r>
      <w:r w:rsidRPr="00B465BC">
        <w:rPr>
          <w:rFonts w:cs="Arial"/>
          <w:lang w:val="en-US"/>
        </w:rPr>
        <w:t xml:space="preserve">  </w:t>
      </w:r>
    </w:p>
  </w:footnote>
  <w:footnote w:id="7">
    <w:p w14:paraId="52365C7C" w14:textId="782D05B7"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{"citationID":"IQwcfAyA","properties":{"formattedCitation":"(Kusolpalin, 2017)","plainCitation":"(Kusolpalin, 2017)","noteIndex":7},"citationItems":[{"id":747,"uris":["http://zotero.org/users/7533545/items/U49PL2HZ"],"itemData":{"id":747,"type":"webpage","container-title":"Singapore Infopedia","title":"Nanyang Technological University | Infopedia","URL":"https://eresources.nlb.gov.sg/infopedia/articles/SIP_2016-03-09_132926.html","author":[{"family":"Kusolpalin","given":"Pattarin"}],"accessed":{"date-parts":[["2022",5,4]]},"issued":{"date-parts":[["2017"]]}}}],"schema":"https://github.com/citation-style-language/schema/raw/master/csl-citation.json"} </w:instrText>
      </w:r>
      <w:r w:rsidRPr="00B465BC">
        <w:rPr>
          <w:rFonts w:cs="Arial"/>
        </w:rPr>
        <w:fldChar w:fldCharType="separate"/>
      </w:r>
      <w:r w:rsidRPr="00B465BC">
        <w:rPr>
          <w:rFonts w:cs="Arial"/>
        </w:rPr>
        <w:t>(Kusolpalin, 2017)</w:t>
      </w:r>
      <w:r w:rsidRPr="00B465BC">
        <w:rPr>
          <w:rFonts w:cs="Arial"/>
        </w:rPr>
        <w:fldChar w:fldCharType="end"/>
      </w:r>
    </w:p>
  </w:footnote>
  <w:footnote w:id="8">
    <w:p w14:paraId="0A86F1AB" w14:textId="682DBB63"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{"citationID":"8Nj6nyfZ","properties":{"formattedCitation":"(Sim, 2014)","plainCitation":"(Sim, 2014)","noteIndex":8},"citationItems":[{"id":737,"uris":["http://zotero.org/users/7533545/items/DWC5R65Z"],"itemData":{"id":737,"type":"webpage","container-title":"Singapore Infopedia","title":"Singapore Management University | Infopedia","URL":"https://eresources.nlb.gov.sg/infopedia/articles/SIP_500_2005-01-19.html","author":[{"family":"Sim","given":"Cheryl"}],"accessed":{"date-parts":[["2022",5,5]]},"issued":{"date-parts":[["2014",9,16]]}}}],"schema":"https://github.com/citation-style-language/schema/raw/master/csl-citation.json"} </w:instrText>
      </w:r>
      <w:r w:rsidRPr="00B465BC">
        <w:rPr>
          <w:rFonts w:cs="Arial"/>
        </w:rPr>
        <w:fldChar w:fldCharType="separate"/>
      </w:r>
      <w:r w:rsidRPr="00B465BC">
        <w:rPr>
          <w:rFonts w:cs="Arial"/>
        </w:rPr>
        <w:t>(Sim, 2014)</w:t>
      </w:r>
      <w:r w:rsidRPr="00B465BC">
        <w:rPr>
          <w:rFonts w:cs="Arial"/>
        </w:rPr>
        <w:fldChar w:fldCharType="end"/>
      </w:r>
    </w:p>
  </w:footnote>
  <w:footnote w:id="9">
    <w:p w14:paraId="75F1E0D2" w14:textId="55373FA9"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{"citationID":"wEH7gEAe","properties":{"formattedCitation":"(Singapore University of Social Sciences, 2022)","plainCitation":"(Singapore University of Social Sciences, 2022)","noteIndex":9},"citationItems":[{"id":736,"uris":["http://zotero.org/users/7533545/items/5EHJLPIA"],"itemData":{"id":736,"type":"post-weblog","container-title":"Singapore University of Social Sciences","title":"Our Milestones","URL":"https://www.suss.edu.sg/about-suss/who-we-are/milestones","author":[{"family":"Singapore University of Social Sciences","given":""}],"accessed":{"date-parts":[["2022",5,4]]},"issued":{"date-parts":[["2022"]]}}}],"schema":"https://github.com/citation-style-language/schema/raw/master/csl-citation.json"} </w:instrText>
      </w:r>
      <w:r w:rsidRPr="00B465BC">
        <w:rPr>
          <w:rFonts w:cs="Arial"/>
        </w:rPr>
        <w:fldChar w:fldCharType="separate"/>
      </w:r>
      <w:r w:rsidRPr="00B465BC">
        <w:rPr>
          <w:rFonts w:cs="Arial"/>
        </w:rPr>
        <w:t>(Singapore University of Social Sciences, 2022)</w:t>
      </w:r>
      <w:r w:rsidRPr="00B465BC">
        <w:rPr>
          <w:rFonts w:cs="Arial"/>
        </w:rPr>
        <w:fldChar w:fldCharType="end"/>
      </w:r>
    </w:p>
  </w:footnote>
  <w:footnote w:id="10">
    <w:p w14:paraId="5B4ABEDD" w14:textId="5BE87B0E" w:rsidR="00467D2A" w:rsidRPr="00B465BC" w:rsidRDefault="00467D2A" w:rsidP="00A12150">
      <w:pPr>
        <w:pStyle w:val="FootnoteText"/>
        <w:rPr>
          <w:rFonts w:cs="Arial"/>
        </w:rPr>
      </w:pPr>
      <w:r w:rsidRPr="00B465BC">
        <w:rPr>
          <w:rStyle w:val="FootnoteReference"/>
          <w:rFonts w:cs="Arial"/>
        </w:rPr>
        <w:footnoteRef/>
      </w:r>
      <w:r w:rsidRPr="00B465BC">
        <w:rPr>
          <w:rFonts w:cs="Arial"/>
        </w:rPr>
        <w:t xml:space="preserve"> </w:t>
      </w:r>
      <w:r w:rsidRPr="00B465BC">
        <w:rPr>
          <w:rFonts w:cs="Arial"/>
        </w:rPr>
        <w:fldChar w:fldCharType="begin"/>
      </w:r>
      <w:r>
        <w:rPr>
          <w:rFonts w:cs="Arial"/>
        </w:rPr>
        <w:instrText xml:space="preserve"> ADDIN ZOTERO_ITEM CSL_CITATION {"citationID":"1ulZ7efX","properties":{"formattedCitation":"(Singapore University of Design and Technology, 2022)","plainCitation":"(Singapore University of Design and Technology, 2022)","noteIndex":10},"citationItems":[{"id":734,"uris":["http://zotero.org/users/7533545/items/R5S79SRM"],"itemData":{"id":734,"type":"webpage","container-title":"SUTD - Our Story","language":"en-GB","title":"SUTD - Our Story -","URL":"https://milestones.sutd.edu.sg/","author":[{"family":"Singapore University of Design and Technology","given":""}],"accessed":{"date-parts":[["2022",5,5]]},"issued":{"date-parts":[["2022"]]}}}],"schema":"https://github.com/citation-style-language/schema/raw/master/csl-citation.json"} </w:instrText>
      </w:r>
      <w:r w:rsidRPr="00B465BC">
        <w:rPr>
          <w:rFonts w:cs="Arial"/>
        </w:rPr>
        <w:fldChar w:fldCharType="separate"/>
      </w:r>
      <w:r w:rsidRPr="00B465BC">
        <w:rPr>
          <w:rFonts w:cs="Arial"/>
        </w:rPr>
        <w:t>(Singapore University of Design and Technology, 2022)</w:t>
      </w:r>
      <w:r w:rsidRPr="00B465BC">
        <w:rPr>
          <w:rFonts w:cs="Arial"/>
        </w:rPr>
        <w:fldChar w:fldCharType="end"/>
      </w:r>
    </w:p>
  </w:footnote>
  <w:footnote w:id="11">
    <w:p w14:paraId="5D8917C0" w14:textId="6A053FC1" w:rsidR="00467D2A" w:rsidRPr="00915939" w:rsidRDefault="00467D2A" w:rsidP="00A12150">
      <w:pPr>
        <w:pStyle w:val="FootnoteText"/>
        <w:rPr>
          <w:rFonts w:cs="Arial"/>
        </w:rPr>
      </w:pPr>
      <w:r w:rsidRPr="00915939">
        <w:rPr>
          <w:rStyle w:val="FootnoteReference"/>
          <w:rFonts w:cs="Arial"/>
        </w:rPr>
        <w:footnoteRef/>
      </w:r>
      <w:r w:rsidRPr="00915939">
        <w:rPr>
          <w:rFonts w:cs="Arial"/>
        </w:rPr>
        <w:t xml:space="preserve"> </w:t>
      </w:r>
      <w:r w:rsidRPr="00915939">
        <w:rPr>
          <w:rFonts w:cs="Arial"/>
        </w:rPr>
        <w:fldChar w:fldCharType="begin"/>
      </w:r>
      <w:r>
        <w:rPr>
          <w:rFonts w:cs="Arial"/>
        </w:rPr>
        <w:instrText xml:space="preserve"> ADDIN ZOTERO_ITEM CSL_CITATION {"citationID":"pv120lbG","properties":{"formattedCitation":"(Singapore Institute of Technology, 2014)","plainCitation":"(Singapore Institute of Technology, 2014)","noteIndex":11},"citationItems":[{"id":735,"uris":["http://zotero.org/users/7533545/items/STQKT5QE"],"itemData":{"id":735,"type":"webpage","abstract":"The Singapore Institute of Technology (SIT) has been officially awarded the status of an autonomous university by the Singapore Government with effect from 28 March 2014. SIT, whose main objective is to provide industry-focused education in Singapore, will thus have the same status and flexibility as that accorded to the existing four autonomous...","container-title":"SIT is Officially Singapore’s New Autonomous University","language":"en","title":"SIT is Officially Singapore’s New Autonomous University","URL":"https://www.singaporetech.edu.sg/digitalnewsroom/sit-is-officially-singapores-new-autonomous-university/","author":[{"family":"Singapore Institute of Technology","given":""}],"accessed":{"date-parts":[["2022",5,4]]},"issued":{"date-parts":[["2014",3,28]]}}}],"schema":"https://github.com/citation-style-language/schema/raw/master/csl-citation.json"} </w:instrText>
      </w:r>
      <w:r w:rsidRPr="00915939">
        <w:rPr>
          <w:rFonts w:cs="Arial"/>
        </w:rPr>
        <w:fldChar w:fldCharType="separate"/>
      </w:r>
      <w:r w:rsidRPr="00915939">
        <w:rPr>
          <w:rFonts w:cs="Arial"/>
        </w:rPr>
        <w:t>(Singapore Institute of Technology, 2014)</w:t>
      </w:r>
      <w:r w:rsidRPr="00915939">
        <w:rPr>
          <w:rFonts w:cs="Arial"/>
        </w:rPr>
        <w:fldChar w:fldCharType="end"/>
      </w:r>
    </w:p>
  </w:footnote>
  <w:footnote w:id="12">
    <w:p w14:paraId="6F60F711" w14:textId="3E58F83B" w:rsidR="00467D2A" w:rsidRDefault="00467D2A" w:rsidP="00A12150">
      <w:pPr>
        <w:pStyle w:val="FootnoteText"/>
      </w:pPr>
      <w:r w:rsidRPr="00915939">
        <w:rPr>
          <w:rStyle w:val="FootnoteReference"/>
          <w:rFonts w:cs="Arial"/>
        </w:rPr>
        <w:footnoteRef/>
      </w:r>
      <w:r w:rsidRPr="00915939">
        <w:rPr>
          <w:rFonts w:cs="Arial"/>
        </w:rPr>
        <w:t xml:space="preserve"> </w:t>
      </w:r>
      <w:r w:rsidRPr="00915939">
        <w:rPr>
          <w:rFonts w:cs="Arial"/>
        </w:rPr>
        <w:fldChar w:fldCharType="begin"/>
      </w:r>
      <w:r>
        <w:rPr>
          <w:rFonts w:cs="Arial"/>
        </w:rPr>
        <w:instrText xml:space="preserve"> ADDIN ZOTERO_ITEM CSL_CITATION {"citationID":"EiNF2fZD","properties":{"formattedCitation":"(Ang, 2022)","plainCitation":"(Ang, 2022)","noteIndex":12},"citationItems":[{"id":1590,"uris":["http://zotero.org/users/7533545/items/R4HQLRF9"],"itemData":{"id":1590,"type":"webpage","abstract":"The University of the Arts Singapore will award degrees offered by both institutions.","container-title":"CNA","language":"en","title":"Singapore's first arts university, formed by NAFA and LASALLE alliance, to welcome students from 2024","URL":"https://www.channelnewsasia.com/singapore/new-arts-university-lasalle-nafa-moe-arts-degree-2909291","author":[{"family":"Ang","given":"Hwee Min"}],"accessed":{"date-parts":[["2023",1,25]]},"issued":{"date-parts":[["2022",8,30]]}}}],"schema":"https://github.com/citation-style-language/schema/raw/master/csl-citation.json"} </w:instrText>
      </w:r>
      <w:r w:rsidRPr="00915939">
        <w:rPr>
          <w:rFonts w:cs="Arial"/>
        </w:rPr>
        <w:fldChar w:fldCharType="separate"/>
      </w:r>
      <w:r w:rsidRPr="00915939">
        <w:rPr>
          <w:rFonts w:cs="Arial"/>
        </w:rPr>
        <w:t>(Ang, 2022)</w:t>
      </w:r>
      <w:r w:rsidRPr="00915939">
        <w:rPr>
          <w:rFonts w:cs="Arial"/>
        </w:rPr>
        <w:fldChar w:fldCharType="end"/>
      </w:r>
    </w:p>
  </w:footnote>
  <w:footnote w:id="13">
    <w:p w14:paraId="45F98E50" w14:textId="4DB93D42" w:rsidR="00467D2A" w:rsidRPr="00A316B5" w:rsidRDefault="00467D2A">
      <w:pPr>
        <w:pStyle w:val="FootnoteText"/>
        <w:rPr>
          <w:lang w:val="en-US"/>
        </w:rPr>
      </w:pPr>
      <w:r>
        <w:rPr>
          <w:rStyle w:val="FootnoteReference"/>
        </w:rPr>
        <w:footnoteRef/>
      </w:r>
      <w:r>
        <w:t xml:space="preserve"> </w:t>
      </w:r>
      <w:r>
        <w:fldChar w:fldCharType="begin"/>
      </w:r>
      <w:r>
        <w:instrText xml:space="preserve"> ADDIN ZOTERO_ITEM CSL_CITATION {"citationID":"rwARUS8u","properties":{"formattedCitation":"(Nanyang Academy of Fine Arts, 2023)","plainCitation":"(Nanyang Academy of Fine Arts, 2023)","noteIndex":13},"citationItems":[{"id":1593,"uris":["http://zotero.org/users/7533545/items/4KHDNFQH"],"itemData":{"id":1593,"type":"webpage","container-title":"Corporate Information - History","title":"History | NAFA","URL":"https://www.nafa.edu.sg/about-us/corporate-information/history","author":[{"family":"Nanyang Academy of Fine Arts","given":""}],"accessed":{"date-parts":[["2023",1,27]]},"issued":{"date-parts":[["2023"]]}}}],"schema":"https://github.com/citation-style-language/schema/raw/master/csl-citation.json"} </w:instrText>
      </w:r>
      <w:r>
        <w:fldChar w:fldCharType="separate"/>
      </w:r>
      <w:r>
        <w:rPr>
          <w:noProof/>
        </w:rPr>
        <w:t>(Nanyang Academy of Fine Arts, 2023)</w:t>
      </w:r>
      <w:r>
        <w:fldChar w:fldCharType="end"/>
      </w:r>
    </w:p>
  </w:footnote>
  <w:footnote w:id="14">
    <w:p w14:paraId="303519D9" w14:textId="629B26C2" w:rsidR="00467D2A" w:rsidRPr="00745C53" w:rsidRDefault="00467D2A">
      <w:pPr>
        <w:pStyle w:val="FootnoteText"/>
        <w:rPr>
          <w:lang w:val="en-US"/>
        </w:rPr>
      </w:pPr>
      <w:r>
        <w:rPr>
          <w:rStyle w:val="FootnoteReference"/>
        </w:rPr>
        <w:footnoteRef/>
      </w:r>
      <w:r>
        <w:t xml:space="preserve"> </w:t>
      </w:r>
      <w:r>
        <w:fldChar w:fldCharType="begin"/>
      </w:r>
      <w:r>
        <w:instrText xml:space="preserve"> ADDIN ZOTERO_ITEM CSL_CITATION {"citationID":"zdIFJKZU","properties":{"formattedCitation":"(LASALLE College of the Arts, 2022)","plainCitation":"(LASALLE College of the Arts, 2022)","noteIndex":14},"citationItems":[{"id":1595,"uris":["http://zotero.org/users/7533545/items/N67SYFV5"],"itemData":{"id":1595,"type":"webpage","container-title":"Our History - History and Milestones","title":"History &amp; Milestones | LASALLE College of the Arts","URL":"https://www.lasalle.edu.sg/about/our-story/history-milestones","author":[{"family":"LASALLE College of the Arts","given":""}],"accessed":{"date-parts":[["2023",1,27]]},"issued":{"date-parts":[["2022"]]}}}],"schema":"https://github.com/citation-style-language/schema/raw/master/csl-citation.json"} </w:instrText>
      </w:r>
      <w:r>
        <w:fldChar w:fldCharType="separate"/>
      </w:r>
      <w:r>
        <w:rPr>
          <w:noProof/>
        </w:rPr>
        <w:t>(LASALLE College of the Arts, 2022)</w:t>
      </w:r>
      <w:r>
        <w:fldChar w:fldCharType="end"/>
      </w:r>
    </w:p>
  </w:footnote>
  <w:footnote w:id="15">
    <w:p w14:paraId="6EBFEBE3" w14:textId="77777777" w:rsidR="00467D2A" w:rsidRPr="00B465BC" w:rsidRDefault="00467D2A" w:rsidP="00772154">
      <w:pPr>
        <w:pStyle w:val="FootnoteText"/>
        <w:rPr>
          <w:rFonts w:cs="Arial"/>
        </w:rPr>
      </w:pPr>
      <w:r w:rsidRPr="00B465BC">
        <w:rPr>
          <w:rStyle w:val="FootnoteReference"/>
          <w:rFonts w:cs="Arial"/>
        </w:rPr>
        <w:footnoteRef/>
      </w:r>
      <w:r w:rsidRPr="00B465BC">
        <w:rPr>
          <w:rFonts w:cs="Arial"/>
        </w:rPr>
        <w:t xml:space="preserve"> From calculations of the 1970 Singapore Census</w:t>
      </w:r>
    </w:p>
  </w:footnote>
  <w:footnote w:id="16">
    <w:p w14:paraId="53C957D4" w14:textId="77777777" w:rsidR="00467D2A" w:rsidRPr="00B465BC" w:rsidRDefault="00467D2A" w:rsidP="00772154">
      <w:pPr>
        <w:pStyle w:val="FootnoteText"/>
        <w:rPr>
          <w:rFonts w:cs="Arial"/>
        </w:rPr>
      </w:pPr>
      <w:r w:rsidRPr="00B465BC">
        <w:rPr>
          <w:rStyle w:val="FootnoteReference"/>
          <w:rFonts w:cs="Arial"/>
        </w:rPr>
        <w:footnoteRef/>
      </w:r>
      <w:r w:rsidRPr="00B465BC">
        <w:rPr>
          <w:rFonts w:cs="Arial"/>
        </w:rPr>
        <w:t xml:space="preserve"> From calculations of the 2020 Singapore Census</w:t>
      </w:r>
    </w:p>
  </w:footnote>
  <w:footnote w:id="17">
    <w:p w14:paraId="04E3894E" w14:textId="77777777" w:rsidR="00467D2A" w:rsidRPr="00B465BC" w:rsidRDefault="00467D2A" w:rsidP="00772154">
      <w:pPr>
        <w:pStyle w:val="FootnoteText"/>
        <w:rPr>
          <w:rFonts w:cs="Arial"/>
        </w:rPr>
      </w:pPr>
      <w:r w:rsidRPr="00B465BC">
        <w:rPr>
          <w:rStyle w:val="FootnoteReference"/>
          <w:rFonts w:cs="Arial"/>
        </w:rPr>
        <w:footnoteRef/>
      </w:r>
      <w:r w:rsidRPr="00B465BC">
        <w:rPr>
          <w:rFonts w:cs="Arial"/>
        </w:rPr>
        <w:t xml:space="preserve"> Authors’ calculations from the four censuses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1150524"/>
      <w:docPartObj>
        <w:docPartGallery w:val="Page Numbers (Top of Page)"/>
        <w:docPartUnique/>
      </w:docPartObj>
    </w:sdtPr>
    <w:sdtEndPr>
      <w:rPr>
        <w:noProof/>
      </w:rPr>
    </w:sdtEndPr>
    <w:sdtContent>
      <w:p w14:paraId="15A1C81D" w14:textId="5471DF63" w:rsidR="00467D2A" w:rsidRPr="00B53759" w:rsidRDefault="00467D2A">
        <w:pPr>
          <w:pStyle w:val="Header"/>
          <w:jc w:val="right"/>
          <w:rPr>
            <w:rFonts w:ascii="Arial" w:hAnsi="Arial" w:cs="Arial"/>
          </w:rPr>
        </w:pPr>
        <w:r w:rsidRPr="00B53759">
          <w:rPr>
            <w:rFonts w:ascii="Arial" w:hAnsi="Arial" w:cs="Arial"/>
          </w:rPr>
          <w:fldChar w:fldCharType="begin"/>
        </w:r>
        <w:r w:rsidRPr="00B53759">
          <w:rPr>
            <w:rFonts w:ascii="Arial" w:hAnsi="Arial" w:cs="Arial"/>
          </w:rPr>
          <w:instrText xml:space="preserve"> PAGE   \* MERGEFORMAT </w:instrText>
        </w:r>
        <w:r w:rsidRPr="00B53759">
          <w:rPr>
            <w:rFonts w:ascii="Arial" w:hAnsi="Arial" w:cs="Arial"/>
          </w:rPr>
          <w:fldChar w:fldCharType="separate"/>
        </w:r>
        <w:r w:rsidRPr="00B53759">
          <w:rPr>
            <w:rFonts w:ascii="Arial" w:hAnsi="Arial" w:cs="Arial"/>
            <w:noProof/>
          </w:rPr>
          <w:t>21</w:t>
        </w:r>
        <w:r w:rsidRPr="00B53759">
          <w:rPr>
            <w:rFonts w:ascii="Arial" w:hAnsi="Arial" w:cs="Arial"/>
            <w:noProof/>
          </w:rPr>
          <w:fldChar w:fldCharType="end"/>
        </w:r>
      </w:p>
    </w:sdtContent>
  </w:sdt>
  <w:p w14:paraId="7A86B189" w14:textId="77777777" w:rsidR="00467D2A" w:rsidRDefault="00467D2A">
    <w:pPr>
      <w:pStyle w:val="Header"/>
    </w:pPr>
  </w:p>
  <w:p w14:paraId="678C10F9" w14:textId="77777777" w:rsidR="00467D2A" w:rsidRDefault="00467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D29"/>
    <w:multiLevelType w:val="hybridMultilevel"/>
    <w:tmpl w:val="CCA21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6A2D"/>
    <w:multiLevelType w:val="hybridMultilevel"/>
    <w:tmpl w:val="08C267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8A4EF2"/>
    <w:multiLevelType w:val="hybridMultilevel"/>
    <w:tmpl w:val="AA842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357AB"/>
    <w:multiLevelType w:val="hybridMultilevel"/>
    <w:tmpl w:val="0B96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8108F"/>
    <w:multiLevelType w:val="hybridMultilevel"/>
    <w:tmpl w:val="083C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86736"/>
    <w:multiLevelType w:val="hybridMultilevel"/>
    <w:tmpl w:val="7B98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D0C1F"/>
    <w:multiLevelType w:val="hybridMultilevel"/>
    <w:tmpl w:val="02FC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D2947"/>
    <w:multiLevelType w:val="hybridMultilevel"/>
    <w:tmpl w:val="6ECC2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85CF5"/>
    <w:multiLevelType w:val="hybridMultilevel"/>
    <w:tmpl w:val="16D42CDC"/>
    <w:lvl w:ilvl="0" w:tplc="C3C4DFB8">
      <w:start w:val="8"/>
      <w:numFmt w:val="decimal"/>
      <w:lvlText w:val="%1."/>
      <w:lvlJc w:val="left"/>
      <w:pPr>
        <w:ind w:left="8582" w:hanging="360"/>
      </w:pPr>
      <w:rPr>
        <w:rFonts w:hint="default"/>
      </w:rPr>
    </w:lvl>
    <w:lvl w:ilvl="1" w:tplc="48090019" w:tentative="1">
      <w:start w:val="1"/>
      <w:numFmt w:val="lowerLetter"/>
      <w:lvlText w:val="%2."/>
      <w:lvlJc w:val="left"/>
      <w:pPr>
        <w:ind w:left="9302" w:hanging="360"/>
      </w:pPr>
    </w:lvl>
    <w:lvl w:ilvl="2" w:tplc="4809001B" w:tentative="1">
      <w:start w:val="1"/>
      <w:numFmt w:val="lowerRoman"/>
      <w:lvlText w:val="%3."/>
      <w:lvlJc w:val="right"/>
      <w:pPr>
        <w:ind w:left="10022" w:hanging="180"/>
      </w:pPr>
    </w:lvl>
    <w:lvl w:ilvl="3" w:tplc="4809000F" w:tentative="1">
      <w:start w:val="1"/>
      <w:numFmt w:val="decimal"/>
      <w:lvlText w:val="%4."/>
      <w:lvlJc w:val="left"/>
      <w:pPr>
        <w:ind w:left="10742" w:hanging="360"/>
      </w:pPr>
    </w:lvl>
    <w:lvl w:ilvl="4" w:tplc="48090019" w:tentative="1">
      <w:start w:val="1"/>
      <w:numFmt w:val="lowerLetter"/>
      <w:lvlText w:val="%5."/>
      <w:lvlJc w:val="left"/>
      <w:pPr>
        <w:ind w:left="11462" w:hanging="360"/>
      </w:pPr>
    </w:lvl>
    <w:lvl w:ilvl="5" w:tplc="4809001B" w:tentative="1">
      <w:start w:val="1"/>
      <w:numFmt w:val="lowerRoman"/>
      <w:lvlText w:val="%6."/>
      <w:lvlJc w:val="right"/>
      <w:pPr>
        <w:ind w:left="12182" w:hanging="180"/>
      </w:pPr>
    </w:lvl>
    <w:lvl w:ilvl="6" w:tplc="4809000F" w:tentative="1">
      <w:start w:val="1"/>
      <w:numFmt w:val="decimal"/>
      <w:lvlText w:val="%7."/>
      <w:lvlJc w:val="left"/>
      <w:pPr>
        <w:ind w:left="12902" w:hanging="360"/>
      </w:pPr>
    </w:lvl>
    <w:lvl w:ilvl="7" w:tplc="48090019" w:tentative="1">
      <w:start w:val="1"/>
      <w:numFmt w:val="lowerLetter"/>
      <w:lvlText w:val="%8."/>
      <w:lvlJc w:val="left"/>
      <w:pPr>
        <w:ind w:left="13622" w:hanging="360"/>
      </w:pPr>
    </w:lvl>
    <w:lvl w:ilvl="8" w:tplc="4809001B" w:tentative="1">
      <w:start w:val="1"/>
      <w:numFmt w:val="lowerRoman"/>
      <w:lvlText w:val="%9."/>
      <w:lvlJc w:val="right"/>
      <w:pPr>
        <w:ind w:left="14342" w:hanging="180"/>
      </w:pPr>
    </w:lvl>
  </w:abstractNum>
  <w:abstractNum w:abstractNumId="9" w15:restartNumberingAfterBreak="0">
    <w:nsid w:val="24D06C30"/>
    <w:multiLevelType w:val="hybridMultilevel"/>
    <w:tmpl w:val="084CBEFE"/>
    <w:lvl w:ilvl="0" w:tplc="B08C72A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332CA"/>
    <w:multiLevelType w:val="hybridMultilevel"/>
    <w:tmpl w:val="6F3AA4BE"/>
    <w:lvl w:ilvl="0" w:tplc="1B446AB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436E2"/>
    <w:multiLevelType w:val="hybridMultilevel"/>
    <w:tmpl w:val="8C14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17A66"/>
    <w:multiLevelType w:val="hybridMultilevel"/>
    <w:tmpl w:val="8C14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568E4"/>
    <w:multiLevelType w:val="hybridMultilevel"/>
    <w:tmpl w:val="9AC4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C5E37"/>
    <w:multiLevelType w:val="hybridMultilevel"/>
    <w:tmpl w:val="E742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355EF"/>
    <w:multiLevelType w:val="hybridMultilevel"/>
    <w:tmpl w:val="197C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78BD"/>
    <w:multiLevelType w:val="hybridMultilevel"/>
    <w:tmpl w:val="5542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6302A"/>
    <w:multiLevelType w:val="hybridMultilevel"/>
    <w:tmpl w:val="4BB003BA"/>
    <w:lvl w:ilvl="0" w:tplc="058064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6D39C6"/>
    <w:multiLevelType w:val="multilevel"/>
    <w:tmpl w:val="408C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7D09B3"/>
    <w:multiLevelType w:val="hybridMultilevel"/>
    <w:tmpl w:val="9C68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22118"/>
    <w:multiLevelType w:val="hybridMultilevel"/>
    <w:tmpl w:val="8C14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F3629"/>
    <w:multiLevelType w:val="hybridMultilevel"/>
    <w:tmpl w:val="FD0C5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017B3"/>
    <w:multiLevelType w:val="multilevel"/>
    <w:tmpl w:val="4809001F"/>
    <w:lvl w:ilvl="0">
      <w:start w:val="1"/>
      <w:numFmt w:val="decimal"/>
      <w:lvlText w:val="%1."/>
      <w:lvlJc w:val="left"/>
      <w:pPr>
        <w:ind w:left="8582" w:hanging="360"/>
      </w:pPr>
      <w:rPr>
        <w:rFonts w:hint="default"/>
      </w:rPr>
    </w:lvl>
    <w:lvl w:ilvl="1">
      <w:start w:val="1"/>
      <w:numFmt w:val="decimal"/>
      <w:lvlText w:val="%1.%2."/>
      <w:lvlJc w:val="left"/>
      <w:pPr>
        <w:ind w:left="9014" w:hanging="432"/>
      </w:pPr>
      <w:rPr>
        <w:rFonts w:hint="default"/>
      </w:rPr>
    </w:lvl>
    <w:lvl w:ilvl="2">
      <w:start w:val="1"/>
      <w:numFmt w:val="decimal"/>
      <w:lvlText w:val="%1.%2.%3."/>
      <w:lvlJc w:val="left"/>
      <w:pPr>
        <w:ind w:left="9446" w:hanging="504"/>
      </w:pPr>
      <w:rPr>
        <w:rFonts w:hint="default"/>
      </w:rPr>
    </w:lvl>
    <w:lvl w:ilvl="3">
      <w:start w:val="1"/>
      <w:numFmt w:val="decimal"/>
      <w:lvlText w:val="%1.%2.%3.%4."/>
      <w:lvlJc w:val="left"/>
      <w:pPr>
        <w:ind w:left="9950" w:hanging="648"/>
      </w:pPr>
      <w:rPr>
        <w:rFonts w:hint="default"/>
      </w:rPr>
    </w:lvl>
    <w:lvl w:ilvl="4">
      <w:start w:val="1"/>
      <w:numFmt w:val="decimal"/>
      <w:lvlText w:val="%1.%2.%3.%4.%5."/>
      <w:lvlJc w:val="left"/>
      <w:pPr>
        <w:ind w:left="10454" w:hanging="792"/>
      </w:pPr>
      <w:rPr>
        <w:rFonts w:hint="default"/>
      </w:rPr>
    </w:lvl>
    <w:lvl w:ilvl="5">
      <w:start w:val="1"/>
      <w:numFmt w:val="decimal"/>
      <w:lvlText w:val="%1.%2.%3.%4.%5.%6."/>
      <w:lvlJc w:val="left"/>
      <w:pPr>
        <w:ind w:left="10958" w:hanging="936"/>
      </w:pPr>
      <w:rPr>
        <w:rFonts w:hint="default"/>
      </w:rPr>
    </w:lvl>
    <w:lvl w:ilvl="6">
      <w:start w:val="1"/>
      <w:numFmt w:val="decimal"/>
      <w:lvlText w:val="%1.%2.%3.%4.%5.%6.%7."/>
      <w:lvlJc w:val="left"/>
      <w:pPr>
        <w:ind w:left="11462" w:hanging="1080"/>
      </w:pPr>
      <w:rPr>
        <w:rFonts w:hint="default"/>
      </w:rPr>
    </w:lvl>
    <w:lvl w:ilvl="7">
      <w:start w:val="1"/>
      <w:numFmt w:val="decimal"/>
      <w:lvlText w:val="%1.%2.%3.%4.%5.%6.%7.%8."/>
      <w:lvlJc w:val="left"/>
      <w:pPr>
        <w:ind w:left="11966" w:hanging="1224"/>
      </w:pPr>
      <w:rPr>
        <w:rFonts w:hint="default"/>
      </w:rPr>
    </w:lvl>
    <w:lvl w:ilvl="8">
      <w:start w:val="1"/>
      <w:numFmt w:val="decimal"/>
      <w:lvlText w:val="%1.%2.%3.%4.%5.%6.%7.%8.%9."/>
      <w:lvlJc w:val="left"/>
      <w:pPr>
        <w:ind w:left="12542" w:hanging="1440"/>
      </w:pPr>
      <w:rPr>
        <w:rFonts w:hint="default"/>
      </w:rPr>
    </w:lvl>
  </w:abstractNum>
  <w:num w:numId="1">
    <w:abstractNumId w:val="13"/>
  </w:num>
  <w:num w:numId="2">
    <w:abstractNumId w:val="6"/>
  </w:num>
  <w:num w:numId="3">
    <w:abstractNumId w:val="0"/>
  </w:num>
  <w:num w:numId="4">
    <w:abstractNumId w:val="7"/>
  </w:num>
  <w:num w:numId="5">
    <w:abstractNumId w:val="3"/>
  </w:num>
  <w:num w:numId="6">
    <w:abstractNumId w:val="15"/>
  </w:num>
  <w:num w:numId="7">
    <w:abstractNumId w:val="4"/>
  </w:num>
  <w:num w:numId="8">
    <w:abstractNumId w:val="5"/>
  </w:num>
  <w:num w:numId="9">
    <w:abstractNumId w:val="16"/>
  </w:num>
  <w:num w:numId="10">
    <w:abstractNumId w:val="19"/>
  </w:num>
  <w:num w:numId="11">
    <w:abstractNumId w:val="2"/>
  </w:num>
  <w:num w:numId="12">
    <w:abstractNumId w:val="21"/>
  </w:num>
  <w:num w:numId="13">
    <w:abstractNumId w:val="20"/>
  </w:num>
  <w:num w:numId="14">
    <w:abstractNumId w:val="12"/>
  </w:num>
  <w:num w:numId="15">
    <w:abstractNumId w:val="11"/>
  </w:num>
  <w:num w:numId="16">
    <w:abstractNumId w:val="9"/>
  </w:num>
  <w:num w:numId="17">
    <w:abstractNumId w:val="18"/>
  </w:num>
  <w:num w:numId="18">
    <w:abstractNumId w:val="14"/>
  </w:num>
  <w:num w:numId="19">
    <w:abstractNumId w:val="17"/>
  </w:num>
  <w:num w:numId="20">
    <w:abstractNumId w:val="1"/>
  </w:num>
  <w:num w:numId="21">
    <w:abstractNumId w:val="22"/>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8D"/>
    <w:rsid w:val="00020306"/>
    <w:rsid w:val="00056612"/>
    <w:rsid w:val="00065898"/>
    <w:rsid w:val="00084BC9"/>
    <w:rsid w:val="000969C3"/>
    <w:rsid w:val="000C55A1"/>
    <w:rsid w:val="0011586B"/>
    <w:rsid w:val="0013564C"/>
    <w:rsid w:val="00140573"/>
    <w:rsid w:val="001610B4"/>
    <w:rsid w:val="0016419A"/>
    <w:rsid w:val="001B0704"/>
    <w:rsid w:val="001B73AD"/>
    <w:rsid w:val="001B7560"/>
    <w:rsid w:val="001F0F3E"/>
    <w:rsid w:val="00257F18"/>
    <w:rsid w:val="00277FE5"/>
    <w:rsid w:val="00280E4A"/>
    <w:rsid w:val="002C1247"/>
    <w:rsid w:val="002C3D96"/>
    <w:rsid w:val="002D1845"/>
    <w:rsid w:val="00325A68"/>
    <w:rsid w:val="003C2BD6"/>
    <w:rsid w:val="003D45CA"/>
    <w:rsid w:val="00402DF8"/>
    <w:rsid w:val="004112A9"/>
    <w:rsid w:val="004405A5"/>
    <w:rsid w:val="004408AB"/>
    <w:rsid w:val="00461A39"/>
    <w:rsid w:val="00466A2B"/>
    <w:rsid w:val="00467D2A"/>
    <w:rsid w:val="00470AD4"/>
    <w:rsid w:val="00483E8E"/>
    <w:rsid w:val="0056077C"/>
    <w:rsid w:val="0057269A"/>
    <w:rsid w:val="005B3D03"/>
    <w:rsid w:val="005B7C0B"/>
    <w:rsid w:val="005C6C38"/>
    <w:rsid w:val="005D2658"/>
    <w:rsid w:val="005F3211"/>
    <w:rsid w:val="00604FC2"/>
    <w:rsid w:val="00631EE5"/>
    <w:rsid w:val="00662403"/>
    <w:rsid w:val="00684F4A"/>
    <w:rsid w:val="006A1F78"/>
    <w:rsid w:val="006C0BC1"/>
    <w:rsid w:val="006C63E3"/>
    <w:rsid w:val="006F037C"/>
    <w:rsid w:val="007044A4"/>
    <w:rsid w:val="00720602"/>
    <w:rsid w:val="007349BB"/>
    <w:rsid w:val="00745C53"/>
    <w:rsid w:val="007660E4"/>
    <w:rsid w:val="00771CB1"/>
    <w:rsid w:val="00772154"/>
    <w:rsid w:val="00772188"/>
    <w:rsid w:val="007972B5"/>
    <w:rsid w:val="007B4AD1"/>
    <w:rsid w:val="007C4534"/>
    <w:rsid w:val="007E5A9D"/>
    <w:rsid w:val="00841082"/>
    <w:rsid w:val="00857375"/>
    <w:rsid w:val="008650D9"/>
    <w:rsid w:val="00874868"/>
    <w:rsid w:val="0087740F"/>
    <w:rsid w:val="008B5134"/>
    <w:rsid w:val="008B515E"/>
    <w:rsid w:val="008B75D4"/>
    <w:rsid w:val="008C73F1"/>
    <w:rsid w:val="008E05A2"/>
    <w:rsid w:val="008E6786"/>
    <w:rsid w:val="0090392B"/>
    <w:rsid w:val="0092713D"/>
    <w:rsid w:val="00934822"/>
    <w:rsid w:val="009B474D"/>
    <w:rsid w:val="009B5A59"/>
    <w:rsid w:val="009D5898"/>
    <w:rsid w:val="00A12150"/>
    <w:rsid w:val="00A316B5"/>
    <w:rsid w:val="00A62BE6"/>
    <w:rsid w:val="00A7011F"/>
    <w:rsid w:val="00A73959"/>
    <w:rsid w:val="00A9501F"/>
    <w:rsid w:val="00AB4A0B"/>
    <w:rsid w:val="00AD3C70"/>
    <w:rsid w:val="00AF0761"/>
    <w:rsid w:val="00AF2B8D"/>
    <w:rsid w:val="00AF31BB"/>
    <w:rsid w:val="00B46C57"/>
    <w:rsid w:val="00B53759"/>
    <w:rsid w:val="00B61074"/>
    <w:rsid w:val="00BA06C1"/>
    <w:rsid w:val="00BA36F7"/>
    <w:rsid w:val="00BB2297"/>
    <w:rsid w:val="00BC0D25"/>
    <w:rsid w:val="00C14B7E"/>
    <w:rsid w:val="00C61A29"/>
    <w:rsid w:val="00C62FA5"/>
    <w:rsid w:val="00C83C19"/>
    <w:rsid w:val="00CB46A2"/>
    <w:rsid w:val="00CE56E9"/>
    <w:rsid w:val="00D41C44"/>
    <w:rsid w:val="00D5790D"/>
    <w:rsid w:val="00E04107"/>
    <w:rsid w:val="00E20F58"/>
    <w:rsid w:val="00E53865"/>
    <w:rsid w:val="00E63120"/>
    <w:rsid w:val="00E67D8A"/>
    <w:rsid w:val="00E67E15"/>
    <w:rsid w:val="00E72123"/>
    <w:rsid w:val="00E73B00"/>
    <w:rsid w:val="00EB7B5C"/>
    <w:rsid w:val="00F27C8F"/>
    <w:rsid w:val="00F672E5"/>
    <w:rsid w:val="00FA101A"/>
    <w:rsid w:val="00FB3A20"/>
    <w:rsid w:val="00FC22F8"/>
    <w:rsid w:val="00FF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997F8"/>
  <w15:docId w15:val="{B58CF902-B231-416A-BE57-CC8E4C38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54"/>
    <w:pPr>
      <w:spacing w:after="0" w:line="480" w:lineRule="auto"/>
      <w:contextualSpacing/>
    </w:pPr>
    <w:rPr>
      <w:rFonts w:ascii="Arial" w:hAnsi="Arial"/>
      <w:sz w:val="24"/>
      <w:lang w:val="en-GB"/>
    </w:rPr>
  </w:style>
  <w:style w:type="paragraph" w:styleId="Heading1">
    <w:name w:val="heading 1"/>
    <w:basedOn w:val="Normal"/>
    <w:next w:val="Normal"/>
    <w:link w:val="Heading1Char"/>
    <w:rsid w:val="007B4AD1"/>
    <w:pPr>
      <w:outlineLvl w:val="0"/>
    </w:pPr>
    <w:rPr>
      <w:rFonts w:eastAsia="Calibri" w:cs="Arial"/>
      <w:b/>
      <w:bCs/>
      <w:color w:val="000000"/>
      <w:szCs w:val="24"/>
    </w:rPr>
  </w:style>
  <w:style w:type="paragraph" w:styleId="Heading2">
    <w:name w:val="heading 2"/>
    <w:basedOn w:val="Normal"/>
    <w:next w:val="Normal"/>
    <w:link w:val="Heading2Char"/>
    <w:rsid w:val="007B4AD1"/>
    <w:pPr>
      <w:keepNext/>
      <w:keepLines/>
      <w:pBdr>
        <w:top w:val="nil"/>
        <w:left w:val="nil"/>
        <w:bottom w:val="nil"/>
        <w:right w:val="nil"/>
        <w:between w:val="nil"/>
      </w:pBdr>
      <w:spacing w:before="360" w:after="80" w:line="276" w:lineRule="auto"/>
      <w:outlineLvl w:val="1"/>
    </w:pPr>
    <w:rPr>
      <w:rFonts w:eastAsia="Calibri" w:cs="Calibri"/>
      <w:b/>
      <w:color w:val="000000"/>
      <w:szCs w:val="36"/>
    </w:rPr>
  </w:style>
  <w:style w:type="paragraph" w:styleId="Heading3">
    <w:name w:val="heading 3"/>
    <w:basedOn w:val="Normal"/>
    <w:next w:val="Normal"/>
    <w:link w:val="Heading3Char"/>
    <w:rsid w:val="007B4AD1"/>
    <w:pPr>
      <w:keepNext/>
      <w:keepLines/>
      <w:pBdr>
        <w:top w:val="nil"/>
        <w:left w:val="nil"/>
        <w:bottom w:val="nil"/>
        <w:right w:val="nil"/>
        <w:between w:val="nil"/>
      </w:pBdr>
      <w:spacing w:before="280" w:after="80" w:line="276" w:lineRule="auto"/>
      <w:outlineLvl w:val="2"/>
    </w:pPr>
    <w:rPr>
      <w:rFonts w:eastAsia="Calibri" w:cs="Calibri"/>
      <w:b/>
      <w:i/>
      <w:color w:val="000000"/>
      <w:szCs w:val="28"/>
    </w:rPr>
  </w:style>
  <w:style w:type="paragraph" w:styleId="Heading4">
    <w:name w:val="heading 4"/>
    <w:basedOn w:val="Normal"/>
    <w:next w:val="Normal"/>
    <w:link w:val="Heading4Char"/>
    <w:rsid w:val="007B4AD1"/>
    <w:pPr>
      <w:keepNext/>
      <w:keepLines/>
      <w:pBdr>
        <w:top w:val="nil"/>
        <w:left w:val="nil"/>
        <w:bottom w:val="nil"/>
        <w:right w:val="nil"/>
        <w:between w:val="nil"/>
      </w:pBdr>
      <w:spacing w:before="240" w:after="40" w:line="276" w:lineRule="auto"/>
      <w:outlineLvl w:val="3"/>
    </w:pPr>
    <w:rPr>
      <w:rFonts w:eastAsia="Calibri" w:cs="Calibri"/>
      <w:b/>
      <w:i/>
      <w:color w:val="000000"/>
      <w:szCs w:val="24"/>
    </w:rPr>
  </w:style>
  <w:style w:type="paragraph" w:styleId="Heading5">
    <w:name w:val="heading 5"/>
    <w:basedOn w:val="Normal"/>
    <w:next w:val="Normal"/>
    <w:link w:val="Heading5Char"/>
    <w:rsid w:val="007B4AD1"/>
    <w:pPr>
      <w:keepNext/>
      <w:keepLines/>
      <w:pBdr>
        <w:top w:val="nil"/>
        <w:left w:val="nil"/>
        <w:bottom w:val="nil"/>
        <w:right w:val="nil"/>
        <w:between w:val="nil"/>
      </w:pBdr>
      <w:spacing w:before="220" w:after="40" w:line="276" w:lineRule="auto"/>
      <w:outlineLvl w:val="4"/>
    </w:pPr>
    <w:rPr>
      <w:rFonts w:eastAsia="Calibri" w:cs="Calibri"/>
      <w:b/>
      <w:i/>
      <w:color w:val="000000"/>
    </w:rPr>
  </w:style>
  <w:style w:type="paragraph" w:styleId="Heading6">
    <w:name w:val="heading 6"/>
    <w:basedOn w:val="Normal"/>
    <w:next w:val="Normal"/>
    <w:link w:val="Heading6Char"/>
    <w:rsid w:val="00AF2B8D"/>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AD1"/>
    <w:rPr>
      <w:rFonts w:ascii="Arial" w:eastAsia="Calibri" w:hAnsi="Arial" w:cs="Arial"/>
      <w:b/>
      <w:bCs/>
      <w:color w:val="000000"/>
      <w:sz w:val="24"/>
      <w:szCs w:val="24"/>
      <w:lang w:val="en-GB"/>
    </w:rPr>
  </w:style>
  <w:style w:type="character" w:customStyle="1" w:styleId="Heading2Char">
    <w:name w:val="Heading 2 Char"/>
    <w:basedOn w:val="DefaultParagraphFont"/>
    <w:link w:val="Heading2"/>
    <w:rsid w:val="007B4AD1"/>
    <w:rPr>
      <w:rFonts w:ascii="Arial" w:eastAsia="Calibri" w:hAnsi="Arial" w:cs="Calibri"/>
      <w:b/>
      <w:color w:val="000000"/>
      <w:sz w:val="24"/>
      <w:szCs w:val="36"/>
      <w:lang w:val="en-GB"/>
    </w:rPr>
  </w:style>
  <w:style w:type="character" w:customStyle="1" w:styleId="Heading3Char">
    <w:name w:val="Heading 3 Char"/>
    <w:basedOn w:val="DefaultParagraphFont"/>
    <w:link w:val="Heading3"/>
    <w:rsid w:val="007B4AD1"/>
    <w:rPr>
      <w:rFonts w:ascii="Arial" w:eastAsia="Calibri" w:hAnsi="Arial" w:cs="Calibri"/>
      <w:b/>
      <w:i/>
      <w:color w:val="000000"/>
      <w:sz w:val="24"/>
      <w:szCs w:val="28"/>
      <w:lang w:val="en-GB"/>
    </w:rPr>
  </w:style>
  <w:style w:type="character" w:customStyle="1" w:styleId="Heading4Char">
    <w:name w:val="Heading 4 Char"/>
    <w:basedOn w:val="DefaultParagraphFont"/>
    <w:link w:val="Heading4"/>
    <w:rsid w:val="007B4AD1"/>
    <w:rPr>
      <w:rFonts w:ascii="Arial" w:eastAsia="Calibri" w:hAnsi="Arial" w:cs="Calibri"/>
      <w:b/>
      <w:i/>
      <w:color w:val="000000"/>
      <w:sz w:val="24"/>
      <w:szCs w:val="24"/>
      <w:lang w:val="en-GB"/>
    </w:rPr>
  </w:style>
  <w:style w:type="character" w:customStyle="1" w:styleId="Heading5Char">
    <w:name w:val="Heading 5 Char"/>
    <w:basedOn w:val="DefaultParagraphFont"/>
    <w:link w:val="Heading5"/>
    <w:rsid w:val="007B4AD1"/>
    <w:rPr>
      <w:rFonts w:ascii="Arial" w:eastAsia="Calibri" w:hAnsi="Arial" w:cs="Calibri"/>
      <w:b/>
      <w:i/>
      <w:color w:val="000000"/>
      <w:sz w:val="24"/>
      <w:lang w:val="en-GB"/>
    </w:rPr>
  </w:style>
  <w:style w:type="character" w:customStyle="1" w:styleId="Heading6Char">
    <w:name w:val="Heading 6 Char"/>
    <w:basedOn w:val="DefaultParagraphFont"/>
    <w:link w:val="Heading6"/>
    <w:rsid w:val="00AF2B8D"/>
    <w:rPr>
      <w:rFonts w:ascii="Calibri" w:eastAsia="Calibri" w:hAnsi="Calibri" w:cs="Calibri"/>
      <w:b/>
      <w:color w:val="000000"/>
      <w:sz w:val="20"/>
      <w:szCs w:val="20"/>
      <w:lang w:val="en-GB"/>
    </w:rPr>
  </w:style>
  <w:style w:type="numbering" w:customStyle="1" w:styleId="NoList1">
    <w:name w:val="No List1"/>
    <w:next w:val="NoList"/>
    <w:uiPriority w:val="99"/>
    <w:semiHidden/>
    <w:unhideWhenUsed/>
    <w:rsid w:val="00AF2B8D"/>
  </w:style>
  <w:style w:type="numbering" w:customStyle="1" w:styleId="NoList11">
    <w:name w:val="No List11"/>
    <w:next w:val="NoList"/>
    <w:uiPriority w:val="99"/>
    <w:semiHidden/>
    <w:unhideWhenUsed/>
    <w:rsid w:val="00AF2B8D"/>
  </w:style>
  <w:style w:type="paragraph" w:styleId="Title">
    <w:name w:val="Title"/>
    <w:basedOn w:val="Normal"/>
    <w:next w:val="Normal"/>
    <w:link w:val="TitleChar"/>
    <w:rsid w:val="00AF2B8D"/>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rPr>
  </w:style>
  <w:style w:type="character" w:customStyle="1" w:styleId="TitleChar">
    <w:name w:val="Title Char"/>
    <w:basedOn w:val="DefaultParagraphFont"/>
    <w:link w:val="Title"/>
    <w:rsid w:val="00AF2B8D"/>
    <w:rPr>
      <w:rFonts w:ascii="Calibri" w:eastAsia="Calibri" w:hAnsi="Calibri" w:cs="Calibri"/>
      <w:b/>
      <w:color w:val="000000"/>
      <w:sz w:val="72"/>
      <w:szCs w:val="72"/>
      <w:lang w:val="en-GB"/>
    </w:rPr>
  </w:style>
  <w:style w:type="paragraph" w:styleId="Subtitle">
    <w:name w:val="Subtitle"/>
    <w:basedOn w:val="Normal"/>
    <w:next w:val="Normal"/>
    <w:link w:val="SubtitleChar"/>
    <w:rsid w:val="00AF2B8D"/>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AF2B8D"/>
    <w:rPr>
      <w:rFonts w:ascii="Georgia" w:eastAsia="Georgia" w:hAnsi="Georgia" w:cs="Georgia"/>
      <w:i/>
      <w:color w:val="666666"/>
      <w:sz w:val="48"/>
      <w:szCs w:val="48"/>
      <w:lang w:val="en-GB"/>
    </w:rPr>
  </w:style>
  <w:style w:type="paragraph" w:styleId="CommentText">
    <w:name w:val="annotation text"/>
    <w:basedOn w:val="Normal"/>
    <w:link w:val="CommentTextChar"/>
    <w:uiPriority w:val="99"/>
    <w:semiHidden/>
    <w:unhideWhenUsed/>
    <w:rsid w:val="00AF2B8D"/>
    <w:pPr>
      <w:pBdr>
        <w:top w:val="nil"/>
        <w:left w:val="nil"/>
        <w:bottom w:val="nil"/>
        <w:right w:val="nil"/>
        <w:between w:val="nil"/>
      </w:pBdr>
      <w:spacing w:after="200" w:line="240" w:lineRule="auto"/>
    </w:pPr>
    <w:rPr>
      <w:rFonts w:ascii="Calibri" w:eastAsia="Calibri" w:hAnsi="Calibri" w:cs="Calibri"/>
      <w:color w:val="000000"/>
      <w:szCs w:val="24"/>
    </w:rPr>
  </w:style>
  <w:style w:type="character" w:customStyle="1" w:styleId="CommentTextChar">
    <w:name w:val="Comment Text Char"/>
    <w:basedOn w:val="DefaultParagraphFont"/>
    <w:link w:val="CommentText"/>
    <w:uiPriority w:val="99"/>
    <w:semiHidden/>
    <w:rsid w:val="00AF2B8D"/>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AF2B8D"/>
    <w:rPr>
      <w:sz w:val="18"/>
      <w:szCs w:val="18"/>
    </w:rPr>
  </w:style>
  <w:style w:type="paragraph" w:styleId="BalloonText">
    <w:name w:val="Balloon Text"/>
    <w:basedOn w:val="Normal"/>
    <w:link w:val="BalloonTextChar"/>
    <w:uiPriority w:val="99"/>
    <w:semiHidden/>
    <w:unhideWhenUsed/>
    <w:rsid w:val="00AF2B8D"/>
    <w:pPr>
      <w:pBdr>
        <w:top w:val="nil"/>
        <w:left w:val="nil"/>
        <w:bottom w:val="nil"/>
        <w:right w:val="nil"/>
        <w:between w:val="nil"/>
      </w:pBdr>
      <w:spacing w:line="240" w:lineRule="auto"/>
    </w:pPr>
    <w:rPr>
      <w:rFonts w:ascii="Times New Roman" w:eastAsia="Calibri" w:hAnsi="Times New Roman" w:cs="Times New Roman"/>
      <w:color w:val="000000"/>
      <w:sz w:val="18"/>
      <w:szCs w:val="18"/>
    </w:rPr>
  </w:style>
  <w:style w:type="character" w:customStyle="1" w:styleId="BalloonTextChar">
    <w:name w:val="Balloon Text Char"/>
    <w:basedOn w:val="DefaultParagraphFont"/>
    <w:link w:val="BalloonText"/>
    <w:uiPriority w:val="99"/>
    <w:semiHidden/>
    <w:rsid w:val="00AF2B8D"/>
    <w:rPr>
      <w:rFonts w:ascii="Times New Roman" w:eastAsia="Calibri" w:hAnsi="Times New Roman" w:cs="Times New Roman"/>
      <w:color w:val="000000"/>
      <w:sz w:val="18"/>
      <w:szCs w:val="18"/>
      <w:lang w:val="en-GB"/>
    </w:rPr>
  </w:style>
  <w:style w:type="paragraph" w:styleId="ListParagraph">
    <w:name w:val="List Paragraph"/>
    <w:basedOn w:val="Normal"/>
    <w:uiPriority w:val="34"/>
    <w:qFormat/>
    <w:rsid w:val="00AF2B8D"/>
    <w:pPr>
      <w:pBdr>
        <w:top w:val="nil"/>
        <w:left w:val="nil"/>
        <w:bottom w:val="nil"/>
        <w:right w:val="nil"/>
        <w:between w:val="nil"/>
      </w:pBdr>
      <w:spacing w:after="200" w:line="276" w:lineRule="auto"/>
      <w:ind w:left="720"/>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AF2B8D"/>
    <w:rPr>
      <w:b/>
      <w:bCs/>
      <w:sz w:val="20"/>
      <w:szCs w:val="20"/>
    </w:rPr>
  </w:style>
  <w:style w:type="character" w:customStyle="1" w:styleId="CommentSubjectChar">
    <w:name w:val="Comment Subject Char"/>
    <w:basedOn w:val="CommentTextChar"/>
    <w:link w:val="CommentSubject"/>
    <w:uiPriority w:val="99"/>
    <w:semiHidden/>
    <w:rsid w:val="00AF2B8D"/>
    <w:rPr>
      <w:rFonts w:ascii="Calibri" w:eastAsia="Calibri" w:hAnsi="Calibri" w:cs="Calibri"/>
      <w:b/>
      <w:bCs/>
      <w:color w:val="000000"/>
      <w:sz w:val="20"/>
      <w:szCs w:val="20"/>
      <w:lang w:val="en-GB"/>
    </w:rPr>
  </w:style>
  <w:style w:type="paragraph" w:styleId="Footer">
    <w:name w:val="footer"/>
    <w:basedOn w:val="Normal"/>
    <w:link w:val="FooterChar"/>
    <w:uiPriority w:val="99"/>
    <w:unhideWhenUsed/>
    <w:rsid w:val="00AF2B8D"/>
    <w:pPr>
      <w:pBdr>
        <w:top w:val="nil"/>
        <w:left w:val="nil"/>
        <w:bottom w:val="nil"/>
        <w:right w:val="nil"/>
        <w:between w:val="nil"/>
      </w:pBdr>
      <w:tabs>
        <w:tab w:val="center" w:pos="4513"/>
        <w:tab w:val="right" w:pos="9026"/>
      </w:tabs>
      <w:spacing w:line="240" w:lineRule="auto"/>
    </w:pPr>
    <w:rPr>
      <w:rFonts w:ascii="Calibri" w:eastAsia="Calibri" w:hAnsi="Calibri" w:cs="Calibri"/>
      <w:color w:val="000000"/>
    </w:rPr>
  </w:style>
  <w:style w:type="character" w:customStyle="1" w:styleId="FooterChar">
    <w:name w:val="Footer Char"/>
    <w:basedOn w:val="DefaultParagraphFont"/>
    <w:link w:val="Footer"/>
    <w:uiPriority w:val="99"/>
    <w:rsid w:val="00AF2B8D"/>
    <w:rPr>
      <w:rFonts w:ascii="Calibri" w:eastAsia="Calibri" w:hAnsi="Calibri" w:cs="Calibri"/>
      <w:color w:val="000000"/>
      <w:lang w:val="en-GB"/>
    </w:rPr>
  </w:style>
  <w:style w:type="character" w:styleId="PageNumber">
    <w:name w:val="page number"/>
    <w:basedOn w:val="DefaultParagraphFont"/>
    <w:uiPriority w:val="99"/>
    <w:semiHidden/>
    <w:unhideWhenUsed/>
    <w:rsid w:val="00AF2B8D"/>
  </w:style>
  <w:style w:type="paragraph" w:customStyle="1" w:styleId="TOC11">
    <w:name w:val="TOC 11"/>
    <w:basedOn w:val="Normal"/>
    <w:next w:val="Normal"/>
    <w:autoRedefine/>
    <w:uiPriority w:val="39"/>
    <w:unhideWhenUsed/>
    <w:rsid w:val="00AF2B8D"/>
    <w:pPr>
      <w:pBdr>
        <w:top w:val="nil"/>
        <w:left w:val="nil"/>
        <w:bottom w:val="nil"/>
        <w:right w:val="nil"/>
        <w:between w:val="nil"/>
      </w:pBdr>
      <w:spacing w:before="120" w:line="276" w:lineRule="auto"/>
    </w:pPr>
    <w:rPr>
      <w:rFonts w:eastAsia="Calibri" w:cs="Calibri"/>
      <w:b/>
      <w:color w:val="000000"/>
    </w:rPr>
  </w:style>
  <w:style w:type="paragraph" w:customStyle="1" w:styleId="TOC21">
    <w:name w:val="TOC 21"/>
    <w:basedOn w:val="Normal"/>
    <w:next w:val="Normal"/>
    <w:autoRedefine/>
    <w:uiPriority w:val="39"/>
    <w:unhideWhenUsed/>
    <w:rsid w:val="00AF2B8D"/>
    <w:pPr>
      <w:pBdr>
        <w:top w:val="nil"/>
        <w:left w:val="nil"/>
        <w:bottom w:val="nil"/>
        <w:right w:val="nil"/>
        <w:between w:val="nil"/>
      </w:pBdr>
      <w:spacing w:line="276" w:lineRule="auto"/>
      <w:ind w:left="220"/>
    </w:pPr>
    <w:rPr>
      <w:rFonts w:eastAsia="Calibri" w:cs="Calibri"/>
      <w:i/>
      <w:color w:val="000000"/>
    </w:rPr>
  </w:style>
  <w:style w:type="paragraph" w:customStyle="1" w:styleId="TOC31">
    <w:name w:val="TOC 31"/>
    <w:basedOn w:val="Normal"/>
    <w:next w:val="Normal"/>
    <w:autoRedefine/>
    <w:uiPriority w:val="39"/>
    <w:unhideWhenUsed/>
    <w:rsid w:val="00AF2B8D"/>
    <w:pPr>
      <w:pBdr>
        <w:top w:val="nil"/>
        <w:left w:val="nil"/>
        <w:bottom w:val="nil"/>
        <w:right w:val="nil"/>
        <w:between w:val="nil"/>
      </w:pBdr>
      <w:spacing w:line="276" w:lineRule="auto"/>
      <w:ind w:left="440"/>
    </w:pPr>
    <w:rPr>
      <w:rFonts w:eastAsia="Calibri" w:cs="Calibri"/>
      <w:color w:val="000000"/>
    </w:rPr>
  </w:style>
  <w:style w:type="paragraph" w:customStyle="1" w:styleId="TOC41">
    <w:name w:val="TOC 41"/>
    <w:basedOn w:val="Normal"/>
    <w:next w:val="Normal"/>
    <w:autoRedefine/>
    <w:uiPriority w:val="39"/>
    <w:unhideWhenUsed/>
    <w:rsid w:val="00AF2B8D"/>
    <w:pPr>
      <w:pBdr>
        <w:top w:val="nil"/>
        <w:left w:val="nil"/>
        <w:bottom w:val="nil"/>
        <w:right w:val="nil"/>
        <w:between w:val="nil"/>
      </w:pBdr>
      <w:spacing w:line="276" w:lineRule="auto"/>
      <w:ind w:left="660"/>
    </w:pPr>
    <w:rPr>
      <w:rFonts w:eastAsia="Calibri" w:cs="Calibri"/>
      <w:color w:val="000000"/>
      <w:sz w:val="20"/>
      <w:szCs w:val="20"/>
    </w:rPr>
  </w:style>
  <w:style w:type="paragraph" w:customStyle="1" w:styleId="TOC51">
    <w:name w:val="TOC 51"/>
    <w:basedOn w:val="Normal"/>
    <w:next w:val="Normal"/>
    <w:autoRedefine/>
    <w:uiPriority w:val="39"/>
    <w:unhideWhenUsed/>
    <w:rsid w:val="00AF2B8D"/>
    <w:pPr>
      <w:pBdr>
        <w:top w:val="nil"/>
        <w:left w:val="nil"/>
        <w:bottom w:val="nil"/>
        <w:right w:val="nil"/>
        <w:between w:val="nil"/>
      </w:pBdr>
      <w:spacing w:line="276" w:lineRule="auto"/>
      <w:ind w:left="880"/>
    </w:pPr>
    <w:rPr>
      <w:rFonts w:eastAsia="Calibri" w:cs="Calibri"/>
      <w:color w:val="000000"/>
      <w:sz w:val="20"/>
      <w:szCs w:val="20"/>
    </w:rPr>
  </w:style>
  <w:style w:type="paragraph" w:customStyle="1" w:styleId="TOC61">
    <w:name w:val="TOC 61"/>
    <w:basedOn w:val="Normal"/>
    <w:next w:val="Normal"/>
    <w:autoRedefine/>
    <w:uiPriority w:val="39"/>
    <w:unhideWhenUsed/>
    <w:rsid w:val="00AF2B8D"/>
    <w:pPr>
      <w:pBdr>
        <w:top w:val="nil"/>
        <w:left w:val="nil"/>
        <w:bottom w:val="nil"/>
        <w:right w:val="nil"/>
        <w:between w:val="nil"/>
      </w:pBdr>
      <w:spacing w:line="276" w:lineRule="auto"/>
      <w:ind w:left="1100"/>
    </w:pPr>
    <w:rPr>
      <w:rFonts w:eastAsia="Calibri" w:cs="Calibri"/>
      <w:color w:val="000000"/>
      <w:sz w:val="20"/>
      <w:szCs w:val="20"/>
    </w:rPr>
  </w:style>
  <w:style w:type="paragraph" w:customStyle="1" w:styleId="TOC71">
    <w:name w:val="TOC 71"/>
    <w:basedOn w:val="Normal"/>
    <w:next w:val="Normal"/>
    <w:autoRedefine/>
    <w:uiPriority w:val="39"/>
    <w:unhideWhenUsed/>
    <w:rsid w:val="00AF2B8D"/>
    <w:pPr>
      <w:pBdr>
        <w:top w:val="nil"/>
        <w:left w:val="nil"/>
        <w:bottom w:val="nil"/>
        <w:right w:val="nil"/>
        <w:between w:val="nil"/>
      </w:pBdr>
      <w:spacing w:line="276" w:lineRule="auto"/>
      <w:ind w:left="1320"/>
    </w:pPr>
    <w:rPr>
      <w:rFonts w:eastAsia="Calibri" w:cs="Calibri"/>
      <w:color w:val="000000"/>
      <w:sz w:val="20"/>
      <w:szCs w:val="20"/>
    </w:rPr>
  </w:style>
  <w:style w:type="paragraph" w:customStyle="1" w:styleId="TOC81">
    <w:name w:val="TOC 81"/>
    <w:basedOn w:val="Normal"/>
    <w:next w:val="Normal"/>
    <w:autoRedefine/>
    <w:uiPriority w:val="39"/>
    <w:unhideWhenUsed/>
    <w:rsid w:val="00AF2B8D"/>
    <w:pPr>
      <w:pBdr>
        <w:top w:val="nil"/>
        <w:left w:val="nil"/>
        <w:bottom w:val="nil"/>
        <w:right w:val="nil"/>
        <w:between w:val="nil"/>
      </w:pBdr>
      <w:spacing w:line="276" w:lineRule="auto"/>
      <w:ind w:left="1540"/>
    </w:pPr>
    <w:rPr>
      <w:rFonts w:eastAsia="Calibri" w:cs="Calibri"/>
      <w:color w:val="000000"/>
      <w:sz w:val="20"/>
      <w:szCs w:val="20"/>
    </w:rPr>
  </w:style>
  <w:style w:type="paragraph" w:customStyle="1" w:styleId="TOC91">
    <w:name w:val="TOC 91"/>
    <w:basedOn w:val="Normal"/>
    <w:next w:val="Normal"/>
    <w:autoRedefine/>
    <w:uiPriority w:val="39"/>
    <w:unhideWhenUsed/>
    <w:rsid w:val="00AF2B8D"/>
    <w:pPr>
      <w:pBdr>
        <w:top w:val="nil"/>
        <w:left w:val="nil"/>
        <w:bottom w:val="nil"/>
        <w:right w:val="nil"/>
        <w:between w:val="nil"/>
      </w:pBdr>
      <w:spacing w:line="276" w:lineRule="auto"/>
      <w:ind w:left="1760"/>
    </w:pPr>
    <w:rPr>
      <w:rFonts w:eastAsia="Calibri" w:cs="Calibri"/>
      <w:color w:val="000000"/>
      <w:sz w:val="20"/>
      <w:szCs w:val="20"/>
    </w:rPr>
  </w:style>
  <w:style w:type="table" w:styleId="TableGrid">
    <w:name w:val="Table Grid"/>
    <w:basedOn w:val="TableNormal"/>
    <w:uiPriority w:val="39"/>
    <w:rsid w:val="00AF2B8D"/>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B8D"/>
    <w:pPr>
      <w:pBdr>
        <w:top w:val="nil"/>
        <w:left w:val="nil"/>
        <w:bottom w:val="nil"/>
        <w:right w:val="nil"/>
        <w:between w:val="nil"/>
      </w:pBdr>
      <w:tabs>
        <w:tab w:val="center" w:pos="4513"/>
        <w:tab w:val="right" w:pos="9026"/>
      </w:tabs>
      <w:spacing w:line="240" w:lineRule="auto"/>
    </w:pPr>
    <w:rPr>
      <w:rFonts w:ascii="Calibri" w:eastAsia="Calibri" w:hAnsi="Calibri" w:cs="Calibri"/>
      <w:color w:val="000000"/>
    </w:rPr>
  </w:style>
  <w:style w:type="character" w:customStyle="1" w:styleId="HeaderChar">
    <w:name w:val="Header Char"/>
    <w:basedOn w:val="DefaultParagraphFont"/>
    <w:link w:val="Header"/>
    <w:uiPriority w:val="99"/>
    <w:rsid w:val="00AF2B8D"/>
    <w:rPr>
      <w:rFonts w:ascii="Calibri" w:eastAsia="Calibri" w:hAnsi="Calibri" w:cs="Calibri"/>
      <w:color w:val="000000"/>
      <w:lang w:val="en-GB"/>
    </w:rPr>
  </w:style>
  <w:style w:type="paragraph" w:customStyle="1" w:styleId="FootnoteText1">
    <w:name w:val="Footnote Text1"/>
    <w:basedOn w:val="Normal"/>
    <w:next w:val="FootnoteText"/>
    <w:link w:val="FootnoteTextChar"/>
    <w:uiPriority w:val="99"/>
    <w:unhideWhenUsed/>
    <w:rsid w:val="00AF2B8D"/>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1"/>
    <w:uiPriority w:val="99"/>
    <w:rsid w:val="00AF2B8D"/>
    <w:rPr>
      <w:rFonts w:ascii="Calibri" w:eastAsia="Calibri" w:hAnsi="Calibri" w:cs="Times New Roman"/>
      <w:sz w:val="20"/>
      <w:szCs w:val="20"/>
      <w:lang w:val="en-GB"/>
    </w:rPr>
  </w:style>
  <w:style w:type="character" w:styleId="FootnoteReference">
    <w:name w:val="footnote reference"/>
    <w:basedOn w:val="DefaultParagraphFont"/>
    <w:uiPriority w:val="99"/>
    <w:unhideWhenUsed/>
    <w:rsid w:val="00AF2B8D"/>
    <w:rPr>
      <w:vertAlign w:val="superscript"/>
    </w:rPr>
  </w:style>
  <w:style w:type="paragraph" w:styleId="NormalWeb">
    <w:name w:val="Normal (Web)"/>
    <w:basedOn w:val="Normal"/>
    <w:uiPriority w:val="99"/>
    <w:semiHidden/>
    <w:unhideWhenUsed/>
    <w:rsid w:val="00AF2B8D"/>
    <w:pPr>
      <w:pBdr>
        <w:top w:val="nil"/>
        <w:left w:val="nil"/>
        <w:bottom w:val="nil"/>
        <w:right w:val="nil"/>
        <w:between w:val="nil"/>
      </w:pBdr>
      <w:spacing w:after="200" w:line="276" w:lineRule="auto"/>
    </w:pPr>
    <w:rPr>
      <w:rFonts w:ascii="Times New Roman" w:eastAsia="Calibri" w:hAnsi="Times New Roman" w:cs="Times New Roman"/>
      <w:color w:val="000000"/>
      <w:szCs w:val="24"/>
    </w:rPr>
  </w:style>
  <w:style w:type="paragraph" w:styleId="Revision">
    <w:name w:val="Revision"/>
    <w:hidden/>
    <w:uiPriority w:val="99"/>
    <w:semiHidden/>
    <w:rsid w:val="00AF2B8D"/>
    <w:pPr>
      <w:spacing w:after="0" w:line="240" w:lineRule="auto"/>
    </w:pPr>
    <w:rPr>
      <w:rFonts w:ascii="Calibri" w:eastAsia="Calibri" w:hAnsi="Calibri" w:cs="Calibri"/>
      <w:color w:val="000000"/>
    </w:rPr>
  </w:style>
  <w:style w:type="paragraph" w:styleId="FootnoteText">
    <w:name w:val="footnote text"/>
    <w:basedOn w:val="Normal"/>
    <w:link w:val="FootnoteTextChar1"/>
    <w:uiPriority w:val="99"/>
    <w:semiHidden/>
    <w:unhideWhenUsed/>
    <w:rsid w:val="00AF2B8D"/>
    <w:pPr>
      <w:spacing w:line="240" w:lineRule="auto"/>
    </w:pPr>
    <w:rPr>
      <w:sz w:val="20"/>
      <w:szCs w:val="20"/>
    </w:rPr>
  </w:style>
  <w:style w:type="character" w:customStyle="1" w:styleId="FootnoteTextChar1">
    <w:name w:val="Footnote Text Char1"/>
    <w:basedOn w:val="DefaultParagraphFont"/>
    <w:link w:val="FootnoteText"/>
    <w:uiPriority w:val="99"/>
    <w:semiHidden/>
    <w:rsid w:val="00AF2B8D"/>
    <w:rPr>
      <w:sz w:val="20"/>
      <w:szCs w:val="20"/>
      <w:lang w:val="en-GB"/>
    </w:rPr>
  </w:style>
  <w:style w:type="character" w:styleId="Hyperlink">
    <w:name w:val="Hyperlink"/>
    <w:basedOn w:val="DefaultParagraphFont"/>
    <w:uiPriority w:val="99"/>
    <w:unhideWhenUsed/>
    <w:rsid w:val="00AF2B8D"/>
    <w:rPr>
      <w:color w:val="0563C1" w:themeColor="hyperlink"/>
      <w:u w:val="single"/>
    </w:rPr>
  </w:style>
  <w:style w:type="paragraph" w:styleId="Bibliography">
    <w:name w:val="Bibliography"/>
    <w:basedOn w:val="Normal"/>
    <w:next w:val="Normal"/>
    <w:uiPriority w:val="37"/>
    <w:unhideWhenUsed/>
    <w:rsid w:val="005C6C38"/>
    <w:pPr>
      <w:ind w:left="720" w:hanging="720"/>
    </w:pPr>
  </w:style>
  <w:style w:type="character" w:styleId="PlaceholderText">
    <w:name w:val="Placeholder Text"/>
    <w:basedOn w:val="DefaultParagraphFont"/>
    <w:uiPriority w:val="99"/>
    <w:semiHidden/>
    <w:rsid w:val="00C61A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177">
      <w:bodyDiv w:val="1"/>
      <w:marLeft w:val="0"/>
      <w:marRight w:val="0"/>
      <w:marTop w:val="0"/>
      <w:marBottom w:val="0"/>
      <w:divBdr>
        <w:top w:val="none" w:sz="0" w:space="0" w:color="auto"/>
        <w:left w:val="none" w:sz="0" w:space="0" w:color="auto"/>
        <w:bottom w:val="none" w:sz="0" w:space="0" w:color="auto"/>
        <w:right w:val="none" w:sz="0" w:space="0" w:color="auto"/>
      </w:divBdr>
    </w:div>
    <w:div w:id="1023360574">
      <w:bodyDiv w:val="1"/>
      <w:marLeft w:val="0"/>
      <w:marRight w:val="0"/>
      <w:marTop w:val="0"/>
      <w:marBottom w:val="0"/>
      <w:divBdr>
        <w:top w:val="none" w:sz="0" w:space="0" w:color="auto"/>
        <w:left w:val="none" w:sz="0" w:space="0" w:color="auto"/>
        <w:bottom w:val="none" w:sz="0" w:space="0" w:color="auto"/>
        <w:right w:val="none" w:sz="0" w:space="0" w:color="auto"/>
      </w:divBdr>
    </w:div>
    <w:div w:id="11635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ppcse\Desktop\2022%20work_windows\2022%20May\consolidated_all%20v2.2%20(updated%20for%201990)_2022_19_Ma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ppcse\Desktop\2022%20work_windows\2022%20April\April%2013%202022\working%20file%20for%20supporting%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ppcse\Desktop\2022%20work_windows\2022%20April\April%2013%202022\working%20file%20for%20supporting%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ppcse\Desktop\2022%20work_windows\2022%20May\consolidated_all%20v2.2%20(updated%20for%201990)_2022_19_Ma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hiqinchoo\Library\Mobile%20Documents\com~apple~CloudDocs\2021august\NTA\horizontal%20stacked%20bar%20cha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ppcse\Desktop\2022%20work_windows\2022%20May\consolidated_all%20v2.2%20(updated%20for%201990)_2022_19_Ma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ppcse\Desktop\2023_work\2023_01\horizontal%20stacked%20bar%20chart_25_jan_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ppcse\Desktop\2022%20work_windows\2022%20May\consolidated_all%20v2.2%20(updated%20for%201990)_2022_19_Ma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ppcse\Desktop\2023_work\2023_01\horizontal%20stacked%20bar%20chart_25_jan_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t>Fig 2: Attainment of HQA in Singapore by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Summaries!$D$46</c:f>
              <c:strCache>
                <c:ptCount val="1"/>
                <c:pt idx="0">
                  <c:v>Pri</c:v>
                </c:pt>
              </c:strCache>
            </c:strRef>
          </c:tx>
          <c:spPr>
            <a:ln w="19050" cap="rnd">
              <a:solidFill>
                <a:schemeClr val="accent1"/>
              </a:solidFill>
              <a:round/>
            </a:ln>
            <a:effectLst/>
          </c:spPr>
          <c:marker>
            <c:symbol val="none"/>
          </c:marker>
          <c:cat>
            <c:numRef>
              <c:f>Summaries!$C$47:$C$52</c:f>
              <c:numCache>
                <c:formatCode>General</c:formatCode>
                <c:ptCount val="6"/>
                <c:pt idx="0">
                  <c:v>1970</c:v>
                </c:pt>
                <c:pt idx="1">
                  <c:v>1980</c:v>
                </c:pt>
                <c:pt idx="2">
                  <c:v>1990</c:v>
                </c:pt>
                <c:pt idx="3">
                  <c:v>2000</c:v>
                </c:pt>
                <c:pt idx="4">
                  <c:v>2010</c:v>
                </c:pt>
                <c:pt idx="5">
                  <c:v>2020</c:v>
                </c:pt>
              </c:numCache>
            </c:numRef>
          </c:cat>
          <c:val>
            <c:numRef>
              <c:f>Summaries!$D$47:$D$52</c:f>
              <c:numCache>
                <c:formatCode>0%</c:formatCode>
                <c:ptCount val="6"/>
                <c:pt idx="0">
                  <c:v>0.92575020733156521</c:v>
                </c:pt>
                <c:pt idx="1">
                  <c:v>0.77512034051742751</c:v>
                </c:pt>
                <c:pt idx="2">
                  <c:v>0.5122563571350407</c:v>
                </c:pt>
                <c:pt idx="3">
                  <c:v>0.4128656210818008</c:v>
                </c:pt>
                <c:pt idx="4">
                  <c:v>0.30327711457731699</c:v>
                </c:pt>
                <c:pt idx="5">
                  <c:v>0.24543393597356106</c:v>
                </c:pt>
              </c:numCache>
            </c:numRef>
          </c:val>
          <c:smooth val="0"/>
          <c:extLst>
            <c:ext xmlns:c16="http://schemas.microsoft.com/office/drawing/2014/chart" uri="{C3380CC4-5D6E-409C-BE32-E72D297353CC}">
              <c16:uniqueId val="{00000000-E69B-41A2-AF40-2DAAFD0B5187}"/>
            </c:ext>
          </c:extLst>
        </c:ser>
        <c:ser>
          <c:idx val="1"/>
          <c:order val="1"/>
          <c:tx>
            <c:strRef>
              <c:f>Summaries!$E$46</c:f>
              <c:strCache>
                <c:ptCount val="1"/>
                <c:pt idx="0">
                  <c:v>Sec </c:v>
                </c:pt>
              </c:strCache>
            </c:strRef>
          </c:tx>
          <c:spPr>
            <a:ln w="19050" cap="rnd">
              <a:solidFill>
                <a:schemeClr val="accent2"/>
              </a:solidFill>
              <a:round/>
            </a:ln>
            <a:effectLst/>
          </c:spPr>
          <c:marker>
            <c:symbol val="none"/>
          </c:marker>
          <c:cat>
            <c:numRef>
              <c:f>Summaries!$C$47:$C$52</c:f>
              <c:numCache>
                <c:formatCode>General</c:formatCode>
                <c:ptCount val="6"/>
                <c:pt idx="0">
                  <c:v>1970</c:v>
                </c:pt>
                <c:pt idx="1">
                  <c:v>1980</c:v>
                </c:pt>
                <c:pt idx="2">
                  <c:v>1990</c:v>
                </c:pt>
                <c:pt idx="3">
                  <c:v>2000</c:v>
                </c:pt>
                <c:pt idx="4">
                  <c:v>2010</c:v>
                </c:pt>
                <c:pt idx="5">
                  <c:v>2020</c:v>
                </c:pt>
              </c:numCache>
            </c:numRef>
          </c:cat>
          <c:val>
            <c:numRef>
              <c:f>Summaries!$E$47:$E$52</c:f>
              <c:numCache>
                <c:formatCode>0%</c:formatCode>
                <c:ptCount val="6"/>
                <c:pt idx="0">
                  <c:v>5.9748469344272637E-2</c:v>
                </c:pt>
                <c:pt idx="1">
                  <c:v>0.16183240884600969</c:v>
                </c:pt>
                <c:pt idx="2">
                  <c:v>0.35465598381894925</c:v>
                </c:pt>
                <c:pt idx="3">
                  <c:v>0.31430050008158056</c:v>
                </c:pt>
                <c:pt idx="4">
                  <c:v>0.27493200608231366</c:v>
                </c:pt>
                <c:pt idx="5">
                  <c:v>0.23155069490397653</c:v>
                </c:pt>
              </c:numCache>
            </c:numRef>
          </c:val>
          <c:smooth val="0"/>
          <c:extLst>
            <c:ext xmlns:c16="http://schemas.microsoft.com/office/drawing/2014/chart" uri="{C3380CC4-5D6E-409C-BE32-E72D297353CC}">
              <c16:uniqueId val="{00000001-E69B-41A2-AF40-2DAAFD0B5187}"/>
            </c:ext>
          </c:extLst>
        </c:ser>
        <c:ser>
          <c:idx val="2"/>
          <c:order val="2"/>
          <c:tx>
            <c:strRef>
              <c:f>Summaries!$F$46</c:f>
              <c:strCache>
                <c:ptCount val="1"/>
                <c:pt idx="0">
                  <c:v>P-Sec</c:v>
                </c:pt>
              </c:strCache>
            </c:strRef>
          </c:tx>
          <c:spPr>
            <a:ln w="19050" cap="rnd">
              <a:solidFill>
                <a:schemeClr val="accent3"/>
              </a:solidFill>
              <a:round/>
            </a:ln>
            <a:effectLst/>
          </c:spPr>
          <c:marker>
            <c:symbol val="none"/>
          </c:marker>
          <c:cat>
            <c:numRef>
              <c:f>Summaries!$C$47:$C$52</c:f>
              <c:numCache>
                <c:formatCode>General</c:formatCode>
                <c:ptCount val="6"/>
                <c:pt idx="0">
                  <c:v>1970</c:v>
                </c:pt>
                <c:pt idx="1">
                  <c:v>1980</c:v>
                </c:pt>
                <c:pt idx="2">
                  <c:v>1990</c:v>
                </c:pt>
                <c:pt idx="3">
                  <c:v>2000</c:v>
                </c:pt>
                <c:pt idx="4">
                  <c:v>2010</c:v>
                </c:pt>
                <c:pt idx="5">
                  <c:v>2020</c:v>
                </c:pt>
              </c:numCache>
            </c:numRef>
          </c:cat>
          <c:val>
            <c:numRef>
              <c:f>Summaries!$F$47:$F$52</c:f>
              <c:numCache>
                <c:formatCode>0%</c:formatCode>
                <c:ptCount val="6"/>
                <c:pt idx="0">
                  <c:v>5.1853999810112725E-3</c:v>
                </c:pt>
                <c:pt idx="1">
                  <c:v>4.5212669368066026E-2</c:v>
                </c:pt>
                <c:pt idx="2">
                  <c:v>9.3011722321113113E-2</c:v>
                </c:pt>
                <c:pt idx="3">
                  <c:v>0.1765148219888622</c:v>
                </c:pt>
                <c:pt idx="4">
                  <c:v>0.23208085209931381</c:v>
                </c:pt>
                <c:pt idx="5">
                  <c:v>0.2480458341927794</c:v>
                </c:pt>
              </c:numCache>
            </c:numRef>
          </c:val>
          <c:smooth val="0"/>
          <c:extLst>
            <c:ext xmlns:c16="http://schemas.microsoft.com/office/drawing/2014/chart" uri="{C3380CC4-5D6E-409C-BE32-E72D297353CC}">
              <c16:uniqueId val="{00000002-E69B-41A2-AF40-2DAAFD0B5187}"/>
            </c:ext>
          </c:extLst>
        </c:ser>
        <c:ser>
          <c:idx val="3"/>
          <c:order val="3"/>
          <c:tx>
            <c:strRef>
              <c:f>Summaries!$G$46</c:f>
              <c:strCache>
                <c:ptCount val="1"/>
                <c:pt idx="0">
                  <c:v>Tertiary</c:v>
                </c:pt>
              </c:strCache>
            </c:strRef>
          </c:tx>
          <c:spPr>
            <a:ln w="19050" cap="rnd">
              <a:solidFill>
                <a:schemeClr val="accent4"/>
              </a:solidFill>
              <a:round/>
            </a:ln>
            <a:effectLst/>
          </c:spPr>
          <c:marker>
            <c:symbol val="none"/>
          </c:marker>
          <c:cat>
            <c:numRef>
              <c:f>Summaries!$C$47:$C$52</c:f>
              <c:numCache>
                <c:formatCode>General</c:formatCode>
                <c:ptCount val="6"/>
                <c:pt idx="0">
                  <c:v>1970</c:v>
                </c:pt>
                <c:pt idx="1">
                  <c:v>1980</c:v>
                </c:pt>
                <c:pt idx="2">
                  <c:v>1990</c:v>
                </c:pt>
                <c:pt idx="3">
                  <c:v>2000</c:v>
                </c:pt>
                <c:pt idx="4">
                  <c:v>2010</c:v>
                </c:pt>
                <c:pt idx="5">
                  <c:v>2020</c:v>
                </c:pt>
              </c:numCache>
            </c:numRef>
          </c:cat>
          <c:val>
            <c:numRef>
              <c:f>Summaries!$G$47:$G$52</c:f>
              <c:numCache>
                <c:formatCode>0%</c:formatCode>
                <c:ptCount val="6"/>
                <c:pt idx="0">
                  <c:v>9.3159233431508968E-3</c:v>
                </c:pt>
                <c:pt idx="1">
                  <c:v>1.7834581268497421E-2</c:v>
                </c:pt>
                <c:pt idx="2">
                  <c:v>4.0075936724897579E-2</c:v>
                </c:pt>
                <c:pt idx="3">
                  <c:v>9.6319056847756143E-2</c:v>
                </c:pt>
                <c:pt idx="4">
                  <c:v>0.18971002724105571</c:v>
                </c:pt>
                <c:pt idx="5">
                  <c:v>0.27496953492968296</c:v>
                </c:pt>
              </c:numCache>
            </c:numRef>
          </c:val>
          <c:smooth val="0"/>
          <c:extLst>
            <c:ext xmlns:c16="http://schemas.microsoft.com/office/drawing/2014/chart" uri="{C3380CC4-5D6E-409C-BE32-E72D297353CC}">
              <c16:uniqueId val="{00000003-E69B-41A2-AF40-2DAAFD0B5187}"/>
            </c:ext>
          </c:extLst>
        </c:ser>
        <c:dLbls>
          <c:showLegendKey val="0"/>
          <c:showVal val="0"/>
          <c:showCatName val="0"/>
          <c:showSerName val="0"/>
          <c:showPercent val="0"/>
          <c:showBubbleSize val="0"/>
        </c:dLbls>
        <c:smooth val="0"/>
        <c:axId val="1168341392"/>
        <c:axId val="1185386832"/>
      </c:lineChart>
      <c:catAx>
        <c:axId val="1168341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85386832"/>
        <c:crosses val="autoZero"/>
        <c:auto val="1"/>
        <c:lblAlgn val="ctr"/>
        <c:lblOffset val="100"/>
        <c:noMultiLvlLbl val="1"/>
      </c:catAx>
      <c:valAx>
        <c:axId val="118538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6834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SG" sz="1400" b="0" i="0" baseline="0">
                <a:effectLst/>
              </a:rPr>
              <a:t>Figure 11: Medium Variant Projection of Singapore Population aged over 70 in 000s (left axis) and Proportion aged over 70 (right axis)</a:t>
            </a:r>
            <a:endParaRPr lang="en-SG"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1"/>
          <c:order val="1"/>
          <c:tx>
            <c:strRef>
              <c:f>Sheet2!$J$50</c:f>
              <c:strCache>
                <c:ptCount val="1"/>
                <c:pt idx="0">
                  <c:v>Size of Population of over-70 in 000s</c:v>
                </c:pt>
              </c:strCache>
            </c:strRef>
          </c:tx>
          <c:spPr>
            <a:solidFill>
              <a:schemeClr val="accent1"/>
            </a:solidFill>
            <a:ln>
              <a:noFill/>
            </a:ln>
            <a:effectLst/>
          </c:spPr>
          <c:invertIfNegative val="0"/>
          <c:cat>
            <c:strRef>
              <c:f>Sheet2!$I$50:$I$58</c:f>
              <c:strCache>
                <c:ptCount val="8"/>
                <c:pt idx="0">
                  <c:v>2030</c:v>
                </c:pt>
                <c:pt idx="1">
                  <c:v>2040</c:v>
                </c:pt>
                <c:pt idx="2">
                  <c:v>2050</c:v>
                </c:pt>
                <c:pt idx="3">
                  <c:v>2060</c:v>
                </c:pt>
                <c:pt idx="4">
                  <c:v>2070</c:v>
                </c:pt>
                <c:pt idx="5">
                  <c:v>2080</c:v>
                </c:pt>
                <c:pt idx="6">
                  <c:v>2090</c:v>
                </c:pt>
                <c:pt idx="7">
                  <c:v>2100</c:v>
                </c:pt>
              </c:strCache>
              <c:extLst/>
            </c:strRef>
          </c:cat>
          <c:val>
            <c:numRef>
              <c:f>Sheet2!$J$51:$J$58</c:f>
              <c:numCache>
                <c:formatCode>General</c:formatCode>
                <c:ptCount val="7"/>
                <c:pt idx="0">
                  <c:v>1012.4839999999999</c:v>
                </c:pt>
                <c:pt idx="1">
                  <c:v>1272.3185000000001</c:v>
                </c:pt>
                <c:pt idx="2">
                  <c:v>1393.8009999999997</c:v>
                </c:pt>
                <c:pt idx="3">
                  <c:v>1488.8999999999999</c:v>
                </c:pt>
                <c:pt idx="4">
                  <c:v>1481.6499999999999</c:v>
                </c:pt>
                <c:pt idx="5">
                  <c:v>1361.0735</c:v>
                </c:pt>
                <c:pt idx="6">
                  <c:v>1329.0899999999997</c:v>
                </c:pt>
              </c:numCache>
              <c:extLst/>
            </c:numRef>
          </c:val>
          <c:extLst>
            <c:ext xmlns:c16="http://schemas.microsoft.com/office/drawing/2014/chart" uri="{C3380CC4-5D6E-409C-BE32-E72D297353CC}">
              <c16:uniqueId val="{00000000-CD9F-49DB-9670-871EE4C395CC}"/>
            </c:ext>
          </c:extLst>
        </c:ser>
        <c:dLbls>
          <c:showLegendKey val="0"/>
          <c:showVal val="0"/>
          <c:showCatName val="0"/>
          <c:showSerName val="0"/>
          <c:showPercent val="0"/>
          <c:showBubbleSize val="0"/>
        </c:dLbls>
        <c:gapWidth val="219"/>
        <c:overlap val="-27"/>
        <c:axId val="968290063"/>
        <c:axId val="997679903"/>
        <c:extLst>
          <c:ext xmlns:c15="http://schemas.microsoft.com/office/drawing/2012/chart" uri="{02D57815-91ED-43cb-92C2-25804820EDAC}">
            <c15:filteredBarSeries>
              <c15:ser>
                <c:idx val="0"/>
                <c:order val="0"/>
                <c:tx>
                  <c:strRef>
                    <c:extLst>
                      <c:ext uri="{02D57815-91ED-43cb-92C2-25804820EDAC}">
                        <c15:formulaRef>
                          <c15:sqref>Sheet2!$I$50</c15:sqref>
                        </c15:formulaRef>
                      </c:ext>
                    </c:extLst>
                    <c:strCache>
                      <c:ptCount val="1"/>
                      <c:pt idx="0">
                        <c:v>Year</c:v>
                      </c:pt>
                    </c:strCache>
                  </c:strRef>
                </c:tx>
                <c:spPr>
                  <a:solidFill>
                    <a:schemeClr val="accent1"/>
                  </a:solidFill>
                  <a:ln>
                    <a:noFill/>
                  </a:ln>
                  <a:effectLst/>
                </c:spPr>
                <c:invertIfNegative val="0"/>
                <c:cat>
                  <c:strRef>
                    <c:extLst>
                      <c:ext uri="{02D57815-91ED-43cb-92C2-25804820EDAC}">
                        <c15:formulaRef>
                          <c15:sqref>Sheet2!$I$50:$I$58</c15:sqref>
                        </c15:formulaRef>
                      </c:ext>
                    </c:extLst>
                    <c:strCache>
                      <c:ptCount val="8"/>
                      <c:pt idx="0">
                        <c:v>2030</c:v>
                      </c:pt>
                      <c:pt idx="1">
                        <c:v>2040</c:v>
                      </c:pt>
                      <c:pt idx="2">
                        <c:v>2050</c:v>
                      </c:pt>
                      <c:pt idx="3">
                        <c:v>2060</c:v>
                      </c:pt>
                      <c:pt idx="4">
                        <c:v>2070</c:v>
                      </c:pt>
                      <c:pt idx="5">
                        <c:v>2080</c:v>
                      </c:pt>
                      <c:pt idx="6">
                        <c:v>2090</c:v>
                      </c:pt>
                      <c:pt idx="7">
                        <c:v>2100</c:v>
                      </c:pt>
                    </c:strCache>
                  </c:strRef>
                </c:cat>
                <c:val>
                  <c:numRef>
                    <c:extLst>
                      <c:ext uri="{02D57815-91ED-43cb-92C2-25804820EDAC}">
                        <c15:formulaRef>
                          <c15:sqref>Sheet2!$I$51:$I$58</c15:sqref>
                        </c15:formulaRef>
                      </c:ext>
                    </c:extLst>
                    <c:numCache>
                      <c:formatCode>General</c:formatCode>
                      <c:ptCount val="7"/>
                      <c:pt idx="0">
                        <c:v>2040</c:v>
                      </c:pt>
                      <c:pt idx="1">
                        <c:v>2050</c:v>
                      </c:pt>
                      <c:pt idx="2">
                        <c:v>2060</c:v>
                      </c:pt>
                      <c:pt idx="3">
                        <c:v>2070</c:v>
                      </c:pt>
                      <c:pt idx="4">
                        <c:v>2080</c:v>
                      </c:pt>
                      <c:pt idx="5">
                        <c:v>2090</c:v>
                      </c:pt>
                      <c:pt idx="6">
                        <c:v>2100</c:v>
                      </c:pt>
                    </c:numCache>
                  </c:numRef>
                </c:val>
                <c:extLst>
                  <c:ext xmlns:c16="http://schemas.microsoft.com/office/drawing/2014/chart" uri="{C3380CC4-5D6E-409C-BE32-E72D297353CC}">
                    <c16:uniqueId val="{00000002-CD9F-49DB-9670-871EE4C395CC}"/>
                  </c:ext>
                </c:extLst>
              </c15:ser>
            </c15:filteredBarSeries>
          </c:ext>
        </c:extLst>
      </c:barChart>
      <c:lineChart>
        <c:grouping val="standard"/>
        <c:varyColors val="0"/>
        <c:ser>
          <c:idx val="2"/>
          <c:order val="2"/>
          <c:tx>
            <c:strRef>
              <c:f>Sheet2!$K$50</c:f>
              <c:strCache>
                <c:ptCount val="1"/>
                <c:pt idx="0">
                  <c:v>Prop over 70</c:v>
                </c:pt>
              </c:strCache>
            </c:strRef>
          </c:tx>
          <c:spPr>
            <a:ln w="28575" cap="rnd">
              <a:solidFill>
                <a:schemeClr val="accent2"/>
              </a:solidFill>
              <a:round/>
            </a:ln>
            <a:effectLst/>
          </c:spPr>
          <c:marker>
            <c:symbol val="none"/>
          </c:marker>
          <c:cat>
            <c:strLit>
              <c:ptCount val="7"/>
              <c:pt idx="0">
                <c:v>200.00%</c:v>
              </c:pt>
              <c:pt idx="1">
                <c:v>300.00%</c:v>
              </c:pt>
              <c:pt idx="2">
                <c:v>400.00%</c:v>
              </c:pt>
              <c:pt idx="3">
                <c:v>500.00%</c:v>
              </c:pt>
              <c:pt idx="4">
                <c:v>600.00%</c:v>
              </c:pt>
              <c:pt idx="5">
                <c:v>700.00%</c:v>
              </c:pt>
              <c:pt idx="6">
                <c:v>800.00%</c:v>
              </c:pt>
              <c:extLst>
                <c:ext xmlns:c15="http://schemas.microsoft.com/office/drawing/2012/chart" uri="{02D57815-91ED-43cb-92C2-25804820EDAC}">
                  <c15:autoCat val="1"/>
                </c:ext>
              </c:extLst>
            </c:strLit>
          </c:cat>
          <c:val>
            <c:numRef>
              <c:f>Sheet2!$K$51:$K$58</c:f>
              <c:numCache>
                <c:formatCode>0.00%</c:formatCode>
                <c:ptCount val="7"/>
                <c:pt idx="0">
                  <c:v>0.22458400283657132</c:v>
                </c:pt>
                <c:pt idx="1">
                  <c:v>0.25112584513159708</c:v>
                </c:pt>
                <c:pt idx="2">
                  <c:v>0.28523371464503433</c:v>
                </c:pt>
                <c:pt idx="3">
                  <c:v>0.31288382351285871</c:v>
                </c:pt>
                <c:pt idx="4">
                  <c:v>0.323598305185954</c:v>
                </c:pt>
                <c:pt idx="5">
                  <c:v>0.31063708348685093</c:v>
                </c:pt>
                <c:pt idx="6">
                  <c:v>0.30529794958211276</c:v>
                </c:pt>
              </c:numCache>
              <c:extLst/>
            </c:numRef>
          </c:val>
          <c:smooth val="0"/>
          <c:extLst>
            <c:ext xmlns:c16="http://schemas.microsoft.com/office/drawing/2014/chart" uri="{C3380CC4-5D6E-409C-BE32-E72D297353CC}">
              <c16:uniqueId val="{00000001-CD9F-49DB-9670-871EE4C395CC}"/>
            </c:ext>
          </c:extLst>
        </c:ser>
        <c:dLbls>
          <c:showLegendKey val="0"/>
          <c:showVal val="0"/>
          <c:showCatName val="0"/>
          <c:showSerName val="0"/>
          <c:showPercent val="0"/>
          <c:showBubbleSize val="0"/>
        </c:dLbls>
        <c:marker val="1"/>
        <c:smooth val="0"/>
        <c:axId val="968284063"/>
        <c:axId val="997680735"/>
      </c:lineChart>
      <c:catAx>
        <c:axId val="9682900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97679903"/>
        <c:crosses val="autoZero"/>
        <c:auto val="1"/>
        <c:lblAlgn val="ctr"/>
        <c:lblOffset val="100"/>
        <c:noMultiLvlLbl val="0"/>
      </c:catAx>
      <c:valAx>
        <c:axId val="997679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68290063"/>
        <c:crosses val="autoZero"/>
        <c:crossBetween val="between"/>
      </c:valAx>
      <c:valAx>
        <c:axId val="99768073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Proportion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68284063"/>
        <c:crosses val="max"/>
        <c:crossBetween val="between"/>
      </c:valAx>
      <c:catAx>
        <c:axId val="968284063"/>
        <c:scaling>
          <c:orientation val="minMax"/>
        </c:scaling>
        <c:delete val="1"/>
        <c:axPos val="b"/>
        <c:numFmt formatCode="General" sourceLinked="1"/>
        <c:majorTickMark val="out"/>
        <c:minorTickMark val="none"/>
        <c:tickLblPos val="nextTo"/>
        <c:crossAx val="9976807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Fig 3:</a:t>
            </a:r>
            <a:r>
              <a:rPr lang="en-US" baseline="0"/>
              <a:t> </a:t>
            </a:r>
            <a:r>
              <a:rPr lang="en-US"/>
              <a:t>Singapore's Total Fertility Rate over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Sheet1!$H$3</c:f>
              <c:strCache>
                <c:ptCount val="1"/>
                <c:pt idx="0">
                  <c:v>Total Fertility Rate (Per Female)</c:v>
                </c:pt>
              </c:strCache>
            </c:strRef>
          </c:tx>
          <c:spPr>
            <a:ln w="19050" cap="rnd">
              <a:solidFill>
                <a:schemeClr val="accent1"/>
              </a:solidFill>
              <a:round/>
            </a:ln>
            <a:effectLst/>
          </c:spPr>
          <c:marker>
            <c:symbol val="none"/>
          </c:marker>
          <c:cat>
            <c:numRef>
              <c:f>Sheet1!$G$4:$G$60</c:f>
              <c:numCache>
                <c:formatCode>General</c:formatCode>
                <c:ptCount val="57"/>
                <c:pt idx="0">
                  <c:v>1965</c:v>
                </c:pt>
                <c:pt idx="1">
                  <c:v>1966</c:v>
                </c:pt>
                <c:pt idx="2">
                  <c:v>1967</c:v>
                </c:pt>
                <c:pt idx="3">
                  <c:v>1968</c:v>
                </c:pt>
                <c:pt idx="4">
                  <c:v>1969</c:v>
                </c:pt>
                <c:pt idx="5">
                  <c:v>1970</c:v>
                </c:pt>
                <c:pt idx="6">
                  <c:v>1971</c:v>
                </c:pt>
                <c:pt idx="7">
                  <c:v>1972</c:v>
                </c:pt>
                <c:pt idx="8">
                  <c:v>1973</c:v>
                </c:pt>
                <c:pt idx="9">
                  <c:v>1974</c:v>
                </c:pt>
                <c:pt idx="10">
                  <c:v>1975</c:v>
                </c:pt>
                <c:pt idx="11">
                  <c:v>1976</c:v>
                </c:pt>
                <c:pt idx="12">
                  <c:v>1977</c:v>
                </c:pt>
                <c:pt idx="13">
                  <c:v>1978</c:v>
                </c:pt>
                <c:pt idx="14">
                  <c:v>1979</c:v>
                </c:pt>
                <c:pt idx="15">
                  <c:v>1980</c:v>
                </c:pt>
                <c:pt idx="16">
                  <c:v>1981</c:v>
                </c:pt>
                <c:pt idx="17">
                  <c:v>1982</c:v>
                </c:pt>
                <c:pt idx="18">
                  <c:v>1983</c:v>
                </c:pt>
                <c:pt idx="19">
                  <c:v>1984</c:v>
                </c:pt>
                <c:pt idx="20">
                  <c:v>1985</c:v>
                </c:pt>
                <c:pt idx="21">
                  <c:v>1986</c:v>
                </c:pt>
                <c:pt idx="22">
                  <c:v>1987</c:v>
                </c:pt>
                <c:pt idx="23">
                  <c:v>1988</c:v>
                </c:pt>
                <c:pt idx="24">
                  <c:v>1989</c:v>
                </c:pt>
                <c:pt idx="25">
                  <c:v>1990</c:v>
                </c:pt>
                <c:pt idx="26">
                  <c:v>1991</c:v>
                </c:pt>
                <c:pt idx="27">
                  <c:v>1992</c:v>
                </c:pt>
                <c:pt idx="28">
                  <c:v>1993</c:v>
                </c:pt>
                <c:pt idx="29">
                  <c:v>1994</c:v>
                </c:pt>
                <c:pt idx="30">
                  <c:v>1995</c:v>
                </c:pt>
                <c:pt idx="31">
                  <c:v>1996</c:v>
                </c:pt>
                <c:pt idx="32">
                  <c:v>1997</c:v>
                </c:pt>
                <c:pt idx="33">
                  <c:v>1998</c:v>
                </c:pt>
                <c:pt idx="34">
                  <c:v>1999</c:v>
                </c:pt>
                <c:pt idx="35">
                  <c:v>2000</c:v>
                </c:pt>
                <c:pt idx="36">
                  <c:v>2001</c:v>
                </c:pt>
                <c:pt idx="37">
                  <c:v>2002</c:v>
                </c:pt>
                <c:pt idx="38">
                  <c:v>2003</c:v>
                </c:pt>
                <c:pt idx="39">
                  <c:v>2004</c:v>
                </c:pt>
                <c:pt idx="40">
                  <c:v>2005</c:v>
                </c:pt>
                <c:pt idx="41">
                  <c:v>2006</c:v>
                </c:pt>
                <c:pt idx="42">
                  <c:v>2007</c:v>
                </c:pt>
                <c:pt idx="43">
                  <c:v>2008</c:v>
                </c:pt>
                <c:pt idx="44">
                  <c:v>2009</c:v>
                </c:pt>
                <c:pt idx="45">
                  <c:v>2010</c:v>
                </c:pt>
                <c:pt idx="46">
                  <c:v>2011</c:v>
                </c:pt>
                <c:pt idx="47">
                  <c:v>2012</c:v>
                </c:pt>
                <c:pt idx="48">
                  <c:v>2013</c:v>
                </c:pt>
                <c:pt idx="49">
                  <c:v>2014</c:v>
                </c:pt>
                <c:pt idx="50">
                  <c:v>2015</c:v>
                </c:pt>
                <c:pt idx="51">
                  <c:v>2016</c:v>
                </c:pt>
                <c:pt idx="52">
                  <c:v>2017</c:v>
                </c:pt>
                <c:pt idx="53">
                  <c:v>2018</c:v>
                </c:pt>
                <c:pt idx="54">
                  <c:v>2019</c:v>
                </c:pt>
                <c:pt idx="55">
                  <c:v>2020</c:v>
                </c:pt>
                <c:pt idx="56">
                  <c:v>2021</c:v>
                </c:pt>
              </c:numCache>
            </c:numRef>
          </c:cat>
          <c:val>
            <c:numRef>
              <c:f>Sheet1!$H$4:$H$60</c:f>
              <c:numCache>
                <c:formatCode>General</c:formatCode>
                <c:ptCount val="57"/>
                <c:pt idx="0">
                  <c:v>4.66</c:v>
                </c:pt>
                <c:pt idx="1">
                  <c:v>4.46</c:v>
                </c:pt>
                <c:pt idx="2">
                  <c:v>3.91</c:v>
                </c:pt>
                <c:pt idx="3">
                  <c:v>3.53</c:v>
                </c:pt>
                <c:pt idx="4">
                  <c:v>3.22</c:v>
                </c:pt>
                <c:pt idx="5">
                  <c:v>3.07</c:v>
                </c:pt>
                <c:pt idx="6">
                  <c:v>3.02</c:v>
                </c:pt>
                <c:pt idx="7">
                  <c:v>3.04</c:v>
                </c:pt>
                <c:pt idx="8">
                  <c:v>2.79</c:v>
                </c:pt>
                <c:pt idx="9">
                  <c:v>2.35</c:v>
                </c:pt>
                <c:pt idx="10">
                  <c:v>2.0699999999999998</c:v>
                </c:pt>
                <c:pt idx="11">
                  <c:v>2.11</c:v>
                </c:pt>
                <c:pt idx="12">
                  <c:v>1.82</c:v>
                </c:pt>
                <c:pt idx="13">
                  <c:v>1.79</c:v>
                </c:pt>
                <c:pt idx="14">
                  <c:v>1.79</c:v>
                </c:pt>
                <c:pt idx="15">
                  <c:v>1.82</c:v>
                </c:pt>
                <c:pt idx="16">
                  <c:v>1.78</c:v>
                </c:pt>
                <c:pt idx="17">
                  <c:v>1.74</c:v>
                </c:pt>
                <c:pt idx="18">
                  <c:v>1.61</c:v>
                </c:pt>
                <c:pt idx="19">
                  <c:v>1.62</c:v>
                </c:pt>
                <c:pt idx="20">
                  <c:v>1.61</c:v>
                </c:pt>
                <c:pt idx="21">
                  <c:v>1.43</c:v>
                </c:pt>
                <c:pt idx="22">
                  <c:v>1.62</c:v>
                </c:pt>
                <c:pt idx="23">
                  <c:v>1.96</c:v>
                </c:pt>
                <c:pt idx="24">
                  <c:v>1.75</c:v>
                </c:pt>
                <c:pt idx="25">
                  <c:v>1.83</c:v>
                </c:pt>
                <c:pt idx="26">
                  <c:v>1.73</c:v>
                </c:pt>
                <c:pt idx="27">
                  <c:v>1.72</c:v>
                </c:pt>
                <c:pt idx="28">
                  <c:v>1.74</c:v>
                </c:pt>
                <c:pt idx="29">
                  <c:v>1.71</c:v>
                </c:pt>
                <c:pt idx="30">
                  <c:v>1.67</c:v>
                </c:pt>
                <c:pt idx="31">
                  <c:v>1.66</c:v>
                </c:pt>
                <c:pt idx="32">
                  <c:v>1.61</c:v>
                </c:pt>
                <c:pt idx="33">
                  <c:v>1.48</c:v>
                </c:pt>
                <c:pt idx="34">
                  <c:v>1.47</c:v>
                </c:pt>
                <c:pt idx="35">
                  <c:v>1.6</c:v>
                </c:pt>
                <c:pt idx="36">
                  <c:v>1.41</c:v>
                </c:pt>
                <c:pt idx="37">
                  <c:v>1.37</c:v>
                </c:pt>
                <c:pt idx="38">
                  <c:v>1.27</c:v>
                </c:pt>
                <c:pt idx="39">
                  <c:v>1.26</c:v>
                </c:pt>
                <c:pt idx="40">
                  <c:v>1.26</c:v>
                </c:pt>
                <c:pt idx="41">
                  <c:v>1.28</c:v>
                </c:pt>
                <c:pt idx="42">
                  <c:v>1.29</c:v>
                </c:pt>
                <c:pt idx="43">
                  <c:v>1.28</c:v>
                </c:pt>
                <c:pt idx="44">
                  <c:v>1.22</c:v>
                </c:pt>
                <c:pt idx="45">
                  <c:v>1.1499999999999999</c:v>
                </c:pt>
                <c:pt idx="46">
                  <c:v>1.2</c:v>
                </c:pt>
                <c:pt idx="47">
                  <c:v>1.29</c:v>
                </c:pt>
                <c:pt idx="48">
                  <c:v>1.19</c:v>
                </c:pt>
                <c:pt idx="49">
                  <c:v>1.25</c:v>
                </c:pt>
                <c:pt idx="50">
                  <c:v>1.24</c:v>
                </c:pt>
                <c:pt idx="51">
                  <c:v>1.2</c:v>
                </c:pt>
                <c:pt idx="52">
                  <c:v>1.1599999999999999</c:v>
                </c:pt>
                <c:pt idx="53">
                  <c:v>1.1399999999999999</c:v>
                </c:pt>
                <c:pt idx="54">
                  <c:v>1.1399999999999999</c:v>
                </c:pt>
                <c:pt idx="55">
                  <c:v>1.1000000000000001</c:v>
                </c:pt>
                <c:pt idx="56">
                  <c:v>1.1200000000000001</c:v>
                </c:pt>
              </c:numCache>
            </c:numRef>
          </c:val>
          <c:smooth val="0"/>
          <c:extLst>
            <c:ext xmlns:c16="http://schemas.microsoft.com/office/drawing/2014/chart" uri="{C3380CC4-5D6E-409C-BE32-E72D297353CC}">
              <c16:uniqueId val="{00000000-7BB9-482F-8498-5422EDC4E5E6}"/>
            </c:ext>
          </c:extLst>
        </c:ser>
        <c:dLbls>
          <c:showLegendKey val="0"/>
          <c:showVal val="0"/>
          <c:showCatName val="0"/>
          <c:showSerName val="0"/>
          <c:showPercent val="0"/>
          <c:showBubbleSize val="0"/>
        </c:dLbls>
        <c:smooth val="0"/>
        <c:axId val="1176683488"/>
        <c:axId val="1176685136"/>
      </c:lineChart>
      <c:catAx>
        <c:axId val="1176683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6685136"/>
        <c:crosses val="autoZero"/>
        <c:auto val="0"/>
        <c:lblAlgn val="ctr"/>
        <c:lblOffset val="100"/>
        <c:tickLblSkip val="10"/>
        <c:tickMarkSkip val="10"/>
        <c:noMultiLvlLbl val="1"/>
      </c:catAx>
      <c:valAx>
        <c:axId val="117668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Total Fertility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6683488"/>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t>Fig 4: Total Life Expectancy At Birth (Residents)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tx>
            <c:strRef>
              <c:f>Sheet2!$H$3</c:f>
              <c:strCache>
                <c:ptCount val="1"/>
                <c:pt idx="0">
                  <c:v>Total Life Expectancy At Birth (Residents)</c:v>
                </c:pt>
              </c:strCache>
            </c:strRef>
          </c:tx>
          <c:spPr>
            <a:ln w="19050" cap="rnd">
              <a:solidFill>
                <a:schemeClr val="accent1"/>
              </a:solidFill>
              <a:round/>
            </a:ln>
            <a:effectLst/>
          </c:spPr>
          <c:marker>
            <c:symbol val="none"/>
          </c:marker>
          <c:xVal>
            <c:numRef>
              <c:f>Sheet2!$G$4:$G$47</c:f>
              <c:numCache>
                <c:formatCode>General</c:formatCode>
                <c:ptCount val="44"/>
                <c:pt idx="0">
                  <c:v>1965</c:v>
                </c:pt>
                <c:pt idx="1">
                  <c:v>1970</c:v>
                </c:pt>
                <c:pt idx="2">
                  <c:v>1975</c:v>
                </c:pt>
                <c:pt idx="3">
                  <c:v>1980</c:v>
                </c:pt>
                <c:pt idx="4">
                  <c:v>1981</c:v>
                </c:pt>
                <c:pt idx="5">
                  <c:v>1982</c:v>
                </c:pt>
                <c:pt idx="6">
                  <c:v>1983</c:v>
                </c:pt>
                <c:pt idx="7">
                  <c:v>1984</c:v>
                </c:pt>
                <c:pt idx="8">
                  <c:v>1985</c:v>
                </c:pt>
                <c:pt idx="9">
                  <c:v>1986</c:v>
                </c:pt>
                <c:pt idx="10">
                  <c:v>1987</c:v>
                </c:pt>
                <c:pt idx="11">
                  <c:v>1988</c:v>
                </c:pt>
                <c:pt idx="12">
                  <c:v>1989</c:v>
                </c:pt>
                <c:pt idx="13">
                  <c:v>1990</c:v>
                </c:pt>
                <c:pt idx="14">
                  <c:v>1991</c:v>
                </c:pt>
                <c:pt idx="15">
                  <c:v>1992</c:v>
                </c:pt>
                <c:pt idx="16">
                  <c:v>1993</c:v>
                </c:pt>
                <c:pt idx="17">
                  <c:v>1994</c:v>
                </c:pt>
                <c:pt idx="18">
                  <c:v>1995</c:v>
                </c:pt>
                <c:pt idx="19">
                  <c:v>1996</c:v>
                </c:pt>
                <c:pt idx="20">
                  <c:v>1997</c:v>
                </c:pt>
                <c:pt idx="21">
                  <c:v>1998</c:v>
                </c:pt>
                <c:pt idx="22">
                  <c:v>1999</c:v>
                </c:pt>
                <c:pt idx="23">
                  <c:v>2000</c:v>
                </c:pt>
                <c:pt idx="24">
                  <c:v>2001</c:v>
                </c:pt>
                <c:pt idx="25">
                  <c:v>2002</c:v>
                </c:pt>
                <c:pt idx="26">
                  <c:v>2003</c:v>
                </c:pt>
                <c:pt idx="27">
                  <c:v>2004</c:v>
                </c:pt>
                <c:pt idx="28">
                  <c:v>2005</c:v>
                </c:pt>
                <c:pt idx="29">
                  <c:v>2006</c:v>
                </c:pt>
                <c:pt idx="30">
                  <c:v>2007</c:v>
                </c:pt>
                <c:pt idx="31">
                  <c:v>2008</c:v>
                </c:pt>
                <c:pt idx="32">
                  <c:v>2009</c:v>
                </c:pt>
                <c:pt idx="33">
                  <c:v>2010</c:v>
                </c:pt>
                <c:pt idx="34">
                  <c:v>2011</c:v>
                </c:pt>
                <c:pt idx="35">
                  <c:v>2012</c:v>
                </c:pt>
                <c:pt idx="36">
                  <c:v>2013</c:v>
                </c:pt>
                <c:pt idx="37">
                  <c:v>2014</c:v>
                </c:pt>
                <c:pt idx="38">
                  <c:v>2015</c:v>
                </c:pt>
                <c:pt idx="39">
                  <c:v>2016</c:v>
                </c:pt>
                <c:pt idx="40">
                  <c:v>2017</c:v>
                </c:pt>
                <c:pt idx="41">
                  <c:v>2018</c:v>
                </c:pt>
                <c:pt idx="42">
                  <c:v>2019</c:v>
                </c:pt>
                <c:pt idx="43">
                  <c:v>2020</c:v>
                </c:pt>
              </c:numCache>
            </c:numRef>
          </c:xVal>
          <c:yVal>
            <c:numRef>
              <c:f>Sheet2!$H$4:$H$47</c:f>
              <c:numCache>
                <c:formatCode>General</c:formatCode>
                <c:ptCount val="44"/>
                <c:pt idx="0">
                  <c:v>64.5</c:v>
                </c:pt>
                <c:pt idx="1">
                  <c:v>65.8</c:v>
                </c:pt>
                <c:pt idx="2">
                  <c:v>66.8</c:v>
                </c:pt>
                <c:pt idx="3">
                  <c:v>72.099999999999994</c:v>
                </c:pt>
                <c:pt idx="4">
                  <c:v>72.5</c:v>
                </c:pt>
                <c:pt idx="5">
                  <c:v>72.599999999999994</c:v>
                </c:pt>
                <c:pt idx="6">
                  <c:v>73</c:v>
                </c:pt>
                <c:pt idx="7">
                  <c:v>73.3</c:v>
                </c:pt>
                <c:pt idx="8">
                  <c:v>73.900000000000006</c:v>
                </c:pt>
                <c:pt idx="9">
                  <c:v>74.2</c:v>
                </c:pt>
                <c:pt idx="10">
                  <c:v>74.5</c:v>
                </c:pt>
                <c:pt idx="11">
                  <c:v>74.7</c:v>
                </c:pt>
                <c:pt idx="12">
                  <c:v>74.900000000000006</c:v>
                </c:pt>
                <c:pt idx="13">
                  <c:v>75.3</c:v>
                </c:pt>
                <c:pt idx="14">
                  <c:v>75.599999999999994</c:v>
                </c:pt>
                <c:pt idx="15">
                  <c:v>75.900000000000006</c:v>
                </c:pt>
                <c:pt idx="16">
                  <c:v>76.099999999999994</c:v>
                </c:pt>
                <c:pt idx="17">
                  <c:v>76.2</c:v>
                </c:pt>
                <c:pt idx="18">
                  <c:v>76.3</c:v>
                </c:pt>
                <c:pt idx="19">
                  <c:v>76.599999999999994</c:v>
                </c:pt>
                <c:pt idx="20">
                  <c:v>76.900000000000006</c:v>
                </c:pt>
                <c:pt idx="21">
                  <c:v>77.3</c:v>
                </c:pt>
                <c:pt idx="22">
                  <c:v>77.599999999999994</c:v>
                </c:pt>
                <c:pt idx="23">
                  <c:v>78</c:v>
                </c:pt>
                <c:pt idx="24">
                  <c:v>78.3</c:v>
                </c:pt>
                <c:pt idx="25">
                  <c:v>78.599999999999994</c:v>
                </c:pt>
                <c:pt idx="26">
                  <c:v>79.099999999999994</c:v>
                </c:pt>
                <c:pt idx="27">
                  <c:v>79.599999999999994</c:v>
                </c:pt>
                <c:pt idx="28">
                  <c:v>80.099999999999994</c:v>
                </c:pt>
                <c:pt idx="29">
                  <c:v>80.3</c:v>
                </c:pt>
                <c:pt idx="30">
                  <c:v>80.599999999999994</c:v>
                </c:pt>
                <c:pt idx="31">
                  <c:v>80.900000000000006</c:v>
                </c:pt>
                <c:pt idx="32">
                  <c:v>81.400000000000006</c:v>
                </c:pt>
                <c:pt idx="33">
                  <c:v>81.7</c:v>
                </c:pt>
                <c:pt idx="34">
                  <c:v>81.900000000000006</c:v>
                </c:pt>
                <c:pt idx="35">
                  <c:v>82.1</c:v>
                </c:pt>
                <c:pt idx="36">
                  <c:v>82.4</c:v>
                </c:pt>
                <c:pt idx="37">
                  <c:v>82.6</c:v>
                </c:pt>
                <c:pt idx="38">
                  <c:v>82.9</c:v>
                </c:pt>
                <c:pt idx="39">
                  <c:v>83</c:v>
                </c:pt>
                <c:pt idx="40">
                  <c:v>83.2</c:v>
                </c:pt>
                <c:pt idx="41">
                  <c:v>83.4</c:v>
                </c:pt>
                <c:pt idx="42">
                  <c:v>83.7</c:v>
                </c:pt>
                <c:pt idx="43">
                  <c:v>83.9</c:v>
                </c:pt>
              </c:numCache>
            </c:numRef>
          </c:yVal>
          <c:smooth val="0"/>
          <c:extLst>
            <c:ext xmlns:c16="http://schemas.microsoft.com/office/drawing/2014/chart" uri="{C3380CC4-5D6E-409C-BE32-E72D297353CC}">
              <c16:uniqueId val="{00000000-FBF6-4668-B203-BDA0364AF1AA}"/>
            </c:ext>
          </c:extLst>
        </c:ser>
        <c:dLbls>
          <c:showLegendKey val="0"/>
          <c:showVal val="0"/>
          <c:showCatName val="0"/>
          <c:showSerName val="0"/>
          <c:showPercent val="0"/>
          <c:showBubbleSize val="0"/>
        </c:dLbls>
        <c:axId val="1177142064"/>
        <c:axId val="1172126688"/>
      </c:scatterChart>
      <c:valAx>
        <c:axId val="11771420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2126688"/>
        <c:crosses val="autoZero"/>
        <c:crossBetween val="midCat"/>
        <c:majorUnit val="10"/>
        <c:minorUnit val="5"/>
      </c:valAx>
      <c:valAx>
        <c:axId val="1172126688"/>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Total Life Expectancy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77142064"/>
        <c:crossesAt val="1"/>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US"/>
              <a:t>Fig 5: Percentage of Resident Population Over 70 years of Age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Summaries!$D$55</c:f>
              <c:strCache>
                <c:ptCount val="1"/>
                <c:pt idx="0">
                  <c:v>Over 70 %</c:v>
                </c:pt>
              </c:strCache>
            </c:strRef>
          </c:tx>
          <c:spPr>
            <a:ln w="19050" cap="rnd">
              <a:solidFill>
                <a:schemeClr val="accent1"/>
              </a:solidFill>
              <a:round/>
            </a:ln>
            <a:effectLst/>
          </c:spPr>
          <c:marker>
            <c:symbol val="none"/>
          </c:marker>
          <c:cat>
            <c:numRef>
              <c:f>Summaries!$C$56:$C$61</c:f>
              <c:numCache>
                <c:formatCode>General</c:formatCode>
                <c:ptCount val="6"/>
                <c:pt idx="0">
                  <c:v>1970</c:v>
                </c:pt>
                <c:pt idx="1">
                  <c:v>1980</c:v>
                </c:pt>
                <c:pt idx="2">
                  <c:v>1990</c:v>
                </c:pt>
                <c:pt idx="3">
                  <c:v>2000</c:v>
                </c:pt>
                <c:pt idx="4">
                  <c:v>2010</c:v>
                </c:pt>
                <c:pt idx="5">
                  <c:v>2020</c:v>
                </c:pt>
              </c:numCache>
            </c:numRef>
          </c:cat>
          <c:val>
            <c:numRef>
              <c:f>Summaries!$D$56:$D$61</c:f>
              <c:numCache>
                <c:formatCode>0%</c:formatCode>
                <c:ptCount val="6"/>
                <c:pt idx="0">
                  <c:v>1.7506281154351766E-2</c:v>
                </c:pt>
                <c:pt idx="1">
                  <c:v>2.7829763926165322E-2</c:v>
                </c:pt>
                <c:pt idx="2">
                  <c:v>3.8216025042143845E-2</c:v>
                </c:pt>
                <c:pt idx="3">
                  <c:v>4.4905193832764652E-2</c:v>
                </c:pt>
                <c:pt idx="4">
                  <c:v>6.0151851104575348E-2</c:v>
                </c:pt>
                <c:pt idx="5">
                  <c:v>9.5190902549570869E-2</c:v>
                </c:pt>
              </c:numCache>
            </c:numRef>
          </c:val>
          <c:smooth val="0"/>
          <c:extLst>
            <c:ext xmlns:c16="http://schemas.microsoft.com/office/drawing/2014/chart" uri="{C3380CC4-5D6E-409C-BE32-E72D297353CC}">
              <c16:uniqueId val="{00000000-A4F9-4409-869C-7B512DA90D2A}"/>
            </c:ext>
          </c:extLst>
        </c:ser>
        <c:dLbls>
          <c:showLegendKey val="0"/>
          <c:showVal val="0"/>
          <c:showCatName val="0"/>
          <c:showSerName val="0"/>
          <c:showPercent val="0"/>
          <c:showBubbleSize val="0"/>
        </c:dLbls>
        <c:smooth val="0"/>
        <c:axId val="1184448976"/>
        <c:axId val="1184690240"/>
      </c:lineChart>
      <c:catAx>
        <c:axId val="1184448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84690240"/>
        <c:crosses val="autoZero"/>
        <c:auto val="1"/>
        <c:lblAlgn val="ctr"/>
        <c:lblOffset val="100"/>
        <c:noMultiLvlLbl val="1"/>
      </c:catAx>
      <c:valAx>
        <c:axId val="1184690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184448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a:solidFill>
                  <a:schemeClr val="tx1"/>
                </a:solidFill>
                <a:latin typeface="Arial" panose="020B0604020202020204" pitchFamily="34" charset="0"/>
                <a:cs typeface="Arial" panose="020B0604020202020204" pitchFamily="34" charset="0"/>
              </a:rPr>
              <a:t>Fig 6: Consumption</a:t>
            </a:r>
            <a:r>
              <a:rPr lang="en-GB" sz="1400" baseline="0">
                <a:solidFill>
                  <a:schemeClr val="tx1"/>
                </a:solidFill>
                <a:latin typeface="Arial" panose="020B0604020202020204" pitchFamily="34" charset="0"/>
                <a:cs typeface="Arial" panose="020B0604020202020204" pitchFamily="34" charset="0"/>
              </a:rPr>
              <a:t> and Income by HQA</a:t>
            </a:r>
            <a:endParaRPr lang="en-GB"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Sheet1!$B$140</c:f>
              <c:strCache>
                <c:ptCount val="1"/>
                <c:pt idx="0">
                  <c:v>Pri-Income</c:v>
                </c:pt>
              </c:strCache>
            </c:strRef>
          </c:tx>
          <c:spPr>
            <a:ln w="28575" cap="rnd">
              <a:solidFill>
                <a:schemeClr val="accent1">
                  <a:lumMod val="20000"/>
                  <a:lumOff val="80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Sheet1!$B$141:$B$149</c:f>
              <c:numCache>
                <c:formatCode>General</c:formatCode>
                <c:ptCount val="9"/>
                <c:pt idx="0">
                  <c:v>0</c:v>
                </c:pt>
                <c:pt idx="1">
                  <c:v>2178.6206053904471</c:v>
                </c:pt>
                <c:pt idx="2">
                  <c:v>103442.84877246467</c:v>
                </c:pt>
                <c:pt idx="3">
                  <c:v>232210.34343001002</c:v>
                </c:pt>
                <c:pt idx="4">
                  <c:v>260107.40032997419</c:v>
                </c:pt>
                <c:pt idx="5">
                  <c:v>219367.58762266033</c:v>
                </c:pt>
                <c:pt idx="6">
                  <c:v>136323.96228638792</c:v>
                </c:pt>
                <c:pt idx="7">
                  <c:v>45613.647419762892</c:v>
                </c:pt>
                <c:pt idx="8">
                  <c:v>7699.6895470330155</c:v>
                </c:pt>
              </c:numCache>
            </c:numRef>
          </c:val>
          <c:smooth val="0"/>
          <c:extLst>
            <c:ext xmlns:c16="http://schemas.microsoft.com/office/drawing/2014/chart" uri="{C3380CC4-5D6E-409C-BE32-E72D297353CC}">
              <c16:uniqueId val="{00000000-E633-46F0-9231-E5018365F703}"/>
            </c:ext>
          </c:extLst>
        </c:ser>
        <c:ser>
          <c:idx val="1"/>
          <c:order val="1"/>
          <c:tx>
            <c:strRef>
              <c:f>Sheet1!$C$140</c:f>
              <c:strCache>
                <c:ptCount val="1"/>
                <c:pt idx="0">
                  <c:v>Pri-Consumption</c:v>
                </c:pt>
              </c:strCache>
            </c:strRef>
          </c:tx>
          <c:spPr>
            <a:ln w="28575" cap="rnd">
              <a:solidFill>
                <a:schemeClr val="accent2">
                  <a:lumMod val="20000"/>
                  <a:lumOff val="80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Sheet1!$C$141:$C$149</c:f>
              <c:numCache>
                <c:formatCode>General</c:formatCode>
                <c:ptCount val="9"/>
                <c:pt idx="0">
                  <c:v>134357.79490544373</c:v>
                </c:pt>
                <c:pt idx="1">
                  <c:v>159810.69298974262</c:v>
                </c:pt>
                <c:pt idx="2">
                  <c:v>160992.06964310465</c:v>
                </c:pt>
                <c:pt idx="3">
                  <c:v>180181.51382176529</c:v>
                </c:pt>
                <c:pt idx="4">
                  <c:v>196291.9708894495</c:v>
                </c:pt>
                <c:pt idx="5">
                  <c:v>200146.30002562777</c:v>
                </c:pt>
                <c:pt idx="6">
                  <c:v>206821.36703730357</c:v>
                </c:pt>
                <c:pt idx="7">
                  <c:v>243000.58772188943</c:v>
                </c:pt>
                <c:pt idx="8">
                  <c:v>173107.21906755192</c:v>
                </c:pt>
              </c:numCache>
            </c:numRef>
          </c:val>
          <c:smooth val="0"/>
          <c:extLst>
            <c:ext xmlns:c16="http://schemas.microsoft.com/office/drawing/2014/chart" uri="{C3380CC4-5D6E-409C-BE32-E72D297353CC}">
              <c16:uniqueId val="{00000001-E633-46F0-9231-E5018365F703}"/>
            </c:ext>
          </c:extLst>
        </c:ser>
        <c:ser>
          <c:idx val="2"/>
          <c:order val="2"/>
          <c:tx>
            <c:strRef>
              <c:f>Sheet1!$D$140</c:f>
              <c:strCache>
                <c:ptCount val="1"/>
                <c:pt idx="0">
                  <c:v>Sec-Income</c:v>
                </c:pt>
              </c:strCache>
            </c:strRef>
          </c:tx>
          <c:spPr>
            <a:ln w="28575" cap="rnd">
              <a:solidFill>
                <a:schemeClr val="tx2">
                  <a:lumMod val="40000"/>
                  <a:lumOff val="60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Sheet1!$D$141:$D$149</c:f>
              <c:numCache>
                <c:formatCode>General</c:formatCode>
                <c:ptCount val="9"/>
                <c:pt idx="0">
                  <c:v>0</c:v>
                </c:pt>
                <c:pt idx="1">
                  <c:v>2178.6206053904471</c:v>
                </c:pt>
                <c:pt idx="2">
                  <c:v>167699.27285758298</c:v>
                </c:pt>
                <c:pt idx="3">
                  <c:v>292470.71230822266</c:v>
                </c:pt>
                <c:pt idx="4">
                  <c:v>324474.20734363334</c:v>
                </c:pt>
                <c:pt idx="5">
                  <c:v>273976.68656516273</c:v>
                </c:pt>
                <c:pt idx="6">
                  <c:v>175542.04195252893</c:v>
                </c:pt>
                <c:pt idx="7">
                  <c:v>58348.607046537392</c:v>
                </c:pt>
                <c:pt idx="8">
                  <c:v>9781.5191195294628</c:v>
                </c:pt>
              </c:numCache>
            </c:numRef>
          </c:val>
          <c:smooth val="0"/>
          <c:extLst>
            <c:ext xmlns:c16="http://schemas.microsoft.com/office/drawing/2014/chart" uri="{C3380CC4-5D6E-409C-BE32-E72D297353CC}">
              <c16:uniqueId val="{00000002-E633-46F0-9231-E5018365F703}"/>
            </c:ext>
          </c:extLst>
        </c:ser>
        <c:ser>
          <c:idx val="3"/>
          <c:order val="3"/>
          <c:tx>
            <c:strRef>
              <c:f>Sheet1!$E$140</c:f>
              <c:strCache>
                <c:ptCount val="1"/>
                <c:pt idx="0">
                  <c:v>Sec-Consumption</c:v>
                </c:pt>
              </c:strCache>
            </c:strRef>
          </c:tx>
          <c:spPr>
            <a:ln w="28575" cap="rnd">
              <a:solidFill>
                <a:schemeClr val="accent2">
                  <a:lumMod val="40000"/>
                  <a:lumOff val="60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Sheet1!$E$141:$E$149</c:f>
              <c:numCache>
                <c:formatCode>General</c:formatCode>
                <c:ptCount val="9"/>
                <c:pt idx="0">
                  <c:v>165339.59427766345</c:v>
                </c:pt>
                <c:pt idx="1">
                  <c:v>225608.90173666488</c:v>
                </c:pt>
                <c:pt idx="2">
                  <c:v>204325.0931113463</c:v>
                </c:pt>
                <c:pt idx="3">
                  <c:v>197811.18378671963</c:v>
                </c:pt>
                <c:pt idx="4">
                  <c:v>228515.95476536598</c:v>
                </c:pt>
                <c:pt idx="5">
                  <c:v>214404.78618875431</c:v>
                </c:pt>
                <c:pt idx="6">
                  <c:v>213054.33083616121</c:v>
                </c:pt>
                <c:pt idx="7">
                  <c:v>264934.03407465364</c:v>
                </c:pt>
                <c:pt idx="8">
                  <c:v>179345.27226441179</c:v>
                </c:pt>
              </c:numCache>
            </c:numRef>
          </c:val>
          <c:smooth val="0"/>
          <c:extLst>
            <c:ext xmlns:c16="http://schemas.microsoft.com/office/drawing/2014/chart" uri="{C3380CC4-5D6E-409C-BE32-E72D297353CC}">
              <c16:uniqueId val="{00000003-E633-46F0-9231-E5018365F703}"/>
            </c:ext>
          </c:extLst>
        </c:ser>
        <c:ser>
          <c:idx val="4"/>
          <c:order val="4"/>
          <c:tx>
            <c:strRef>
              <c:f>Sheet1!$F$140</c:f>
              <c:strCache>
                <c:ptCount val="1"/>
                <c:pt idx="0">
                  <c:v>Post-Sec Income</c:v>
                </c:pt>
              </c:strCache>
            </c:strRef>
          </c:tx>
          <c:spPr>
            <a:ln w="28575" cap="rnd">
              <a:solidFill>
                <a:schemeClr val="tx2">
                  <a:lumMod val="60000"/>
                  <a:lumOff val="40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Sheet1!$F$141:$F$149</c:f>
              <c:numCache>
                <c:formatCode>General</c:formatCode>
                <c:ptCount val="9"/>
                <c:pt idx="0">
                  <c:v>0</c:v>
                </c:pt>
                <c:pt idx="1">
                  <c:v>23103.005048950654</c:v>
                </c:pt>
                <c:pt idx="2">
                  <c:v>231797.82001055457</c:v>
                </c:pt>
                <c:pt idx="3">
                  <c:v>398595.15850491502</c:v>
                </c:pt>
                <c:pt idx="4">
                  <c:v>512085.70792077854</c:v>
                </c:pt>
                <c:pt idx="5">
                  <c:v>486405.73853023781</c:v>
                </c:pt>
                <c:pt idx="6">
                  <c:v>326506.50887251418</c:v>
                </c:pt>
                <c:pt idx="7">
                  <c:v>107370.03817396105</c:v>
                </c:pt>
                <c:pt idx="8">
                  <c:v>17795.228467504567</c:v>
                </c:pt>
              </c:numCache>
            </c:numRef>
          </c:val>
          <c:smooth val="0"/>
          <c:extLst>
            <c:ext xmlns:c16="http://schemas.microsoft.com/office/drawing/2014/chart" uri="{C3380CC4-5D6E-409C-BE32-E72D297353CC}">
              <c16:uniqueId val="{00000004-E633-46F0-9231-E5018365F703}"/>
            </c:ext>
          </c:extLst>
        </c:ser>
        <c:ser>
          <c:idx val="5"/>
          <c:order val="5"/>
          <c:tx>
            <c:strRef>
              <c:f>Sheet1!$G$140</c:f>
              <c:strCache>
                <c:ptCount val="1"/>
                <c:pt idx="0">
                  <c:v>Post-Sec Consumption</c:v>
                </c:pt>
              </c:strCache>
            </c:strRef>
          </c:tx>
          <c:spPr>
            <a:ln w="28575" cap="rnd">
              <a:solidFill>
                <a:schemeClr val="accent2">
                  <a:lumMod val="60000"/>
                  <a:lumOff val="40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Sheet1!$G$141:$G$149</c:f>
              <c:numCache>
                <c:formatCode>General</c:formatCode>
                <c:ptCount val="9"/>
                <c:pt idx="0">
                  <c:v>174180.05353705227</c:v>
                </c:pt>
                <c:pt idx="1">
                  <c:v>215727.65323802442</c:v>
                </c:pt>
                <c:pt idx="2">
                  <c:v>235034.65695601248</c:v>
                </c:pt>
                <c:pt idx="3">
                  <c:v>276726.38020481955</c:v>
                </c:pt>
                <c:pt idx="4">
                  <c:v>308674.00202816649</c:v>
                </c:pt>
                <c:pt idx="5">
                  <c:v>307177.53125842044</c:v>
                </c:pt>
                <c:pt idx="6">
                  <c:v>323542.15435047605</c:v>
                </c:pt>
                <c:pt idx="7">
                  <c:v>370839.94785053661</c:v>
                </c:pt>
                <c:pt idx="8">
                  <c:v>262589.63214240462</c:v>
                </c:pt>
              </c:numCache>
            </c:numRef>
          </c:val>
          <c:smooth val="0"/>
          <c:extLst>
            <c:ext xmlns:c16="http://schemas.microsoft.com/office/drawing/2014/chart" uri="{C3380CC4-5D6E-409C-BE32-E72D297353CC}">
              <c16:uniqueId val="{00000005-E633-46F0-9231-E5018365F703}"/>
            </c:ext>
          </c:extLst>
        </c:ser>
        <c:ser>
          <c:idx val="6"/>
          <c:order val="6"/>
          <c:tx>
            <c:strRef>
              <c:f>Sheet1!$H$140</c:f>
              <c:strCache>
                <c:ptCount val="1"/>
                <c:pt idx="0">
                  <c:v>Tertiary Income</c:v>
                </c:pt>
              </c:strCache>
            </c:strRef>
          </c:tx>
          <c:spPr>
            <a:ln w="28575" cap="rnd">
              <a:solidFill>
                <a:schemeClr val="tx2">
                  <a:lumMod val="75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Sheet1!$H$141:$H$149</c:f>
              <c:numCache>
                <c:formatCode>General</c:formatCode>
                <c:ptCount val="9"/>
                <c:pt idx="0">
                  <c:v>0</c:v>
                </c:pt>
                <c:pt idx="1">
                  <c:v>2178.6206053904471</c:v>
                </c:pt>
                <c:pt idx="2">
                  <c:v>385849.97968076321</c:v>
                </c:pt>
                <c:pt idx="3">
                  <c:v>764240.59364916524</c:v>
                </c:pt>
                <c:pt idx="4">
                  <c:v>1110423.2590457939</c:v>
                </c:pt>
                <c:pt idx="5">
                  <c:v>1120471.1622724379</c:v>
                </c:pt>
                <c:pt idx="6">
                  <c:v>777388.72605984716</c:v>
                </c:pt>
                <c:pt idx="7">
                  <c:v>253781.25670357683</c:v>
                </c:pt>
                <c:pt idx="8">
                  <c:v>41729.596020532626</c:v>
                </c:pt>
              </c:numCache>
            </c:numRef>
          </c:val>
          <c:smooth val="0"/>
          <c:extLst>
            <c:ext xmlns:c16="http://schemas.microsoft.com/office/drawing/2014/chart" uri="{C3380CC4-5D6E-409C-BE32-E72D297353CC}">
              <c16:uniqueId val="{00000006-E633-46F0-9231-E5018365F703}"/>
            </c:ext>
          </c:extLst>
        </c:ser>
        <c:ser>
          <c:idx val="7"/>
          <c:order val="7"/>
          <c:tx>
            <c:strRef>
              <c:f>Sheet1!$I$140</c:f>
              <c:strCache>
                <c:ptCount val="1"/>
                <c:pt idx="0">
                  <c:v>Tertiary Consumption</c:v>
                </c:pt>
              </c:strCache>
            </c:strRef>
          </c:tx>
          <c:spPr>
            <a:ln w="28575" cap="rnd">
              <a:solidFill>
                <a:schemeClr val="accent2">
                  <a:lumMod val="75000"/>
                </a:schemeClr>
              </a:solidFill>
              <a:round/>
            </a:ln>
            <a:effectLst/>
          </c:spPr>
          <c:marker>
            <c:symbol val="none"/>
          </c:marker>
          <c:cat>
            <c:strRef>
              <c:f>Sheet1!$A$141:$A$149</c:f>
              <c:strCache>
                <c:ptCount val="9"/>
                <c:pt idx="0">
                  <c:v>0-9</c:v>
                </c:pt>
                <c:pt idx="1">
                  <c:v>10-19</c:v>
                </c:pt>
                <c:pt idx="2">
                  <c:v>20-29</c:v>
                </c:pt>
                <c:pt idx="3">
                  <c:v>30-39</c:v>
                </c:pt>
                <c:pt idx="4">
                  <c:v>40-49</c:v>
                </c:pt>
                <c:pt idx="5">
                  <c:v>50-59</c:v>
                </c:pt>
                <c:pt idx="6">
                  <c:v>60-69</c:v>
                </c:pt>
                <c:pt idx="7">
                  <c:v>70-79</c:v>
                </c:pt>
                <c:pt idx="8">
                  <c:v>80 and over</c:v>
                </c:pt>
              </c:strCache>
            </c:strRef>
          </c:cat>
          <c:val>
            <c:numRef>
              <c:f>Sheet1!$I$141:$I$149</c:f>
              <c:numCache>
                <c:formatCode>General</c:formatCode>
                <c:ptCount val="9"/>
                <c:pt idx="0">
                  <c:v>243377.23210178572</c:v>
                </c:pt>
                <c:pt idx="1">
                  <c:v>354676.92851884197</c:v>
                </c:pt>
                <c:pt idx="2">
                  <c:v>319985.0436220523</c:v>
                </c:pt>
                <c:pt idx="3">
                  <c:v>387604.57835228101</c:v>
                </c:pt>
                <c:pt idx="4">
                  <c:v>449050.66144938901</c:v>
                </c:pt>
                <c:pt idx="5">
                  <c:v>454418.99802219763</c:v>
                </c:pt>
                <c:pt idx="6">
                  <c:v>509531.49816189159</c:v>
                </c:pt>
                <c:pt idx="7">
                  <c:v>562319.77555452881</c:v>
                </c:pt>
                <c:pt idx="8">
                  <c:v>381614.63877899753</c:v>
                </c:pt>
              </c:numCache>
            </c:numRef>
          </c:val>
          <c:smooth val="0"/>
          <c:extLst>
            <c:ext xmlns:c16="http://schemas.microsoft.com/office/drawing/2014/chart" uri="{C3380CC4-5D6E-409C-BE32-E72D297353CC}">
              <c16:uniqueId val="{00000007-E633-46F0-9231-E5018365F703}"/>
            </c:ext>
          </c:extLst>
        </c:ser>
        <c:dLbls>
          <c:showLegendKey val="0"/>
          <c:showVal val="0"/>
          <c:showCatName val="0"/>
          <c:showSerName val="0"/>
          <c:showPercent val="0"/>
          <c:showBubbleSize val="0"/>
        </c:dLbls>
        <c:smooth val="0"/>
        <c:axId val="395026879"/>
        <c:axId val="395028527"/>
      </c:lineChart>
      <c:catAx>
        <c:axId val="3950268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solidFill>
                    <a:latin typeface="Arial" panose="020B0604020202020204" pitchFamily="34" charset="0"/>
                    <a:cs typeface="Arial" panose="020B0604020202020204" pitchFamily="34" charset="0"/>
                  </a:rPr>
                  <a:t>AGE</a:t>
                </a:r>
                <a:r>
                  <a:rPr lang="en-GB" baseline="0">
                    <a:solidFill>
                      <a:schemeClr val="tx1"/>
                    </a:solidFill>
                    <a:latin typeface="Arial" panose="020B0604020202020204" pitchFamily="34" charset="0"/>
                    <a:cs typeface="Arial" panose="020B0604020202020204" pitchFamily="34" charset="0"/>
                  </a:rPr>
                  <a:t> GROUPS</a:t>
                </a:r>
                <a:endParaRPr lang="en-GB">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5028527"/>
        <c:crosses val="autoZero"/>
        <c:auto val="1"/>
        <c:lblAlgn val="ctr"/>
        <c:lblOffset val="100"/>
        <c:noMultiLvlLbl val="0"/>
      </c:catAx>
      <c:valAx>
        <c:axId val="395028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solidFill>
                      <a:schemeClr val="tx1"/>
                    </a:solidFill>
                    <a:latin typeface="Arial" panose="020B0604020202020204" pitchFamily="34" charset="0"/>
                    <a:cs typeface="Arial" panose="020B0604020202020204" pitchFamily="34" charset="0"/>
                  </a:rPr>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95026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SG"/>
              <a:t>Fig 7: Overall ESR over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Summaries!$D$18</c:f>
              <c:strCache>
                <c:ptCount val="1"/>
                <c:pt idx="0">
                  <c:v>Overall</c:v>
                </c:pt>
              </c:strCache>
            </c:strRef>
          </c:tx>
          <c:spPr>
            <a:ln w="19050" cap="rnd">
              <a:solidFill>
                <a:schemeClr val="accent1"/>
              </a:solidFill>
              <a:round/>
            </a:ln>
            <a:effectLst/>
          </c:spPr>
          <c:marker>
            <c:symbol val="none"/>
          </c:marker>
          <c:cat>
            <c:numRef>
              <c:f>Summaries!$C$19:$C$24</c:f>
              <c:numCache>
                <c:formatCode>General</c:formatCode>
                <c:ptCount val="6"/>
                <c:pt idx="0">
                  <c:v>1970</c:v>
                </c:pt>
                <c:pt idx="1">
                  <c:v>1980</c:v>
                </c:pt>
                <c:pt idx="2">
                  <c:v>1990</c:v>
                </c:pt>
                <c:pt idx="3">
                  <c:v>2000</c:v>
                </c:pt>
                <c:pt idx="4">
                  <c:v>2010</c:v>
                </c:pt>
                <c:pt idx="5">
                  <c:v>2020</c:v>
                </c:pt>
              </c:numCache>
            </c:numRef>
          </c:cat>
          <c:val>
            <c:numRef>
              <c:f>Summaries!$D$19:$D$24</c:f>
              <c:numCache>
                <c:formatCode>General</c:formatCode>
                <c:ptCount val="6"/>
                <c:pt idx="0">
                  <c:v>0.45376327968602465</c:v>
                </c:pt>
                <c:pt idx="1">
                  <c:v>0.61753855661543233</c:v>
                </c:pt>
                <c:pt idx="2">
                  <c:v>1.1033143643523189</c:v>
                </c:pt>
                <c:pt idx="3">
                  <c:v>1.4140903093918407</c:v>
                </c:pt>
                <c:pt idx="4">
                  <c:v>1.5669390463750019</c:v>
                </c:pt>
                <c:pt idx="5">
                  <c:v>1.4440118515684444</c:v>
                </c:pt>
              </c:numCache>
            </c:numRef>
          </c:val>
          <c:smooth val="0"/>
          <c:extLst>
            <c:ext xmlns:c16="http://schemas.microsoft.com/office/drawing/2014/chart" uri="{C3380CC4-5D6E-409C-BE32-E72D297353CC}">
              <c16:uniqueId val="{00000000-A228-45FC-8FE9-B5EDC165089F}"/>
            </c:ext>
          </c:extLst>
        </c:ser>
        <c:dLbls>
          <c:showLegendKey val="0"/>
          <c:showVal val="0"/>
          <c:showCatName val="0"/>
          <c:showSerName val="0"/>
          <c:showPercent val="0"/>
          <c:showBubbleSize val="0"/>
        </c:dLbls>
        <c:smooth val="0"/>
        <c:axId val="155664112"/>
        <c:axId val="155284240"/>
      </c:lineChart>
      <c:catAx>
        <c:axId val="155664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5284240"/>
        <c:crosses val="autoZero"/>
        <c:auto val="1"/>
        <c:lblAlgn val="ctr"/>
        <c:lblOffset val="100"/>
        <c:noMultiLvlLbl val="1"/>
      </c:catAx>
      <c:valAx>
        <c:axId val="15528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Economic Support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5664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Fig 8: Economic Support Ratio of various</a:t>
            </a:r>
            <a:r>
              <a:rPr lang="en-GB" baseline="0">
                <a:solidFill>
                  <a:schemeClr val="tx1"/>
                </a:solidFill>
                <a:latin typeface="Arial" panose="020B0604020202020204" pitchFamily="34" charset="0"/>
                <a:cs typeface="Arial" panose="020B0604020202020204" pitchFamily="34" charset="0"/>
              </a:rPr>
              <a:t> HQA over Time</a:t>
            </a:r>
            <a:endParaRPr lang="en-GB">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scatterChart>
        <c:scatterStyle val="lineMarker"/>
        <c:varyColors val="0"/>
        <c:ser>
          <c:idx val="0"/>
          <c:order val="0"/>
          <c:tx>
            <c:strRef>
              <c:f>Sheet1!$B$165</c:f>
              <c:strCache>
                <c:ptCount val="1"/>
                <c:pt idx="0">
                  <c:v>Pri</c:v>
                </c:pt>
              </c:strCache>
            </c:strRef>
          </c:tx>
          <c:spPr>
            <a:ln w="19050" cap="rnd">
              <a:solidFill>
                <a:schemeClr val="accent1"/>
              </a:solidFill>
              <a:round/>
            </a:ln>
            <a:effectLst/>
          </c:spPr>
          <c:marker>
            <c:symbol val="none"/>
          </c:marker>
          <c:xVal>
            <c:numRef>
              <c:f>Sheet1!$A$166:$A$171</c:f>
              <c:numCache>
                <c:formatCode>General</c:formatCode>
                <c:ptCount val="6"/>
                <c:pt idx="0">
                  <c:v>1970</c:v>
                </c:pt>
                <c:pt idx="1">
                  <c:v>1980</c:v>
                </c:pt>
                <c:pt idx="2">
                  <c:v>1990</c:v>
                </c:pt>
                <c:pt idx="3">
                  <c:v>2000</c:v>
                </c:pt>
                <c:pt idx="4">
                  <c:v>2010</c:v>
                </c:pt>
                <c:pt idx="5">
                  <c:v>2020</c:v>
                </c:pt>
              </c:numCache>
            </c:numRef>
          </c:xVal>
          <c:yVal>
            <c:numRef>
              <c:f>Sheet1!$B$166:$B$171</c:f>
              <c:numCache>
                <c:formatCode>General</c:formatCode>
                <c:ptCount val="6"/>
                <c:pt idx="0">
                  <c:v>0.39106825516896421</c:v>
                </c:pt>
                <c:pt idx="1">
                  <c:v>0.53901456929497893</c:v>
                </c:pt>
                <c:pt idx="2">
                  <c:v>0.48912521481083587</c:v>
                </c:pt>
                <c:pt idx="3">
                  <c:v>0.324345594273863</c:v>
                </c:pt>
                <c:pt idx="4">
                  <c:v>0.16839321890552086</c:v>
                </c:pt>
                <c:pt idx="5">
                  <c:v>5.8320990067471622E-2</c:v>
                </c:pt>
              </c:numCache>
            </c:numRef>
          </c:yVal>
          <c:smooth val="0"/>
          <c:extLst>
            <c:ext xmlns:c16="http://schemas.microsoft.com/office/drawing/2014/chart" uri="{C3380CC4-5D6E-409C-BE32-E72D297353CC}">
              <c16:uniqueId val="{00000000-768C-4FA5-8A83-B3A2BEDF3DE4}"/>
            </c:ext>
          </c:extLst>
        </c:ser>
        <c:ser>
          <c:idx val="1"/>
          <c:order val="1"/>
          <c:tx>
            <c:strRef>
              <c:f>Sheet1!$C$165</c:f>
              <c:strCache>
                <c:ptCount val="1"/>
                <c:pt idx="0">
                  <c:v>Sec </c:v>
                </c:pt>
              </c:strCache>
            </c:strRef>
          </c:tx>
          <c:spPr>
            <a:ln w="19050" cap="rnd">
              <a:solidFill>
                <a:schemeClr val="accent2"/>
              </a:solidFill>
              <a:round/>
            </a:ln>
            <a:effectLst/>
          </c:spPr>
          <c:marker>
            <c:symbol val="none"/>
          </c:marker>
          <c:xVal>
            <c:numRef>
              <c:f>Sheet1!$A$166:$A$171</c:f>
              <c:numCache>
                <c:formatCode>General</c:formatCode>
                <c:ptCount val="6"/>
                <c:pt idx="0">
                  <c:v>1970</c:v>
                </c:pt>
                <c:pt idx="1">
                  <c:v>1980</c:v>
                </c:pt>
                <c:pt idx="2">
                  <c:v>1990</c:v>
                </c:pt>
                <c:pt idx="3">
                  <c:v>2000</c:v>
                </c:pt>
                <c:pt idx="4">
                  <c:v>2010</c:v>
                </c:pt>
                <c:pt idx="5">
                  <c:v>2020</c:v>
                </c:pt>
              </c:numCache>
            </c:numRef>
          </c:xVal>
          <c:yVal>
            <c:numRef>
              <c:f>Sheet1!$C$166:$C$171</c:f>
              <c:numCache>
                <c:formatCode>General</c:formatCode>
                <c:ptCount val="6"/>
                <c:pt idx="0">
                  <c:v>0.85201560465363646</c:v>
                </c:pt>
                <c:pt idx="1">
                  <c:v>0.43443354325984945</c:v>
                </c:pt>
                <c:pt idx="2">
                  <c:v>1.9591353629981392</c:v>
                </c:pt>
                <c:pt idx="3">
                  <c:v>2.2540624434399836</c:v>
                </c:pt>
                <c:pt idx="4">
                  <c:v>1.3598704322927557</c:v>
                </c:pt>
                <c:pt idx="5">
                  <c:v>0.5917903827333667</c:v>
                </c:pt>
              </c:numCache>
            </c:numRef>
          </c:yVal>
          <c:smooth val="0"/>
          <c:extLst>
            <c:ext xmlns:c16="http://schemas.microsoft.com/office/drawing/2014/chart" uri="{C3380CC4-5D6E-409C-BE32-E72D297353CC}">
              <c16:uniqueId val="{00000001-768C-4FA5-8A83-B3A2BEDF3DE4}"/>
            </c:ext>
          </c:extLst>
        </c:ser>
        <c:ser>
          <c:idx val="2"/>
          <c:order val="2"/>
          <c:tx>
            <c:strRef>
              <c:f>Sheet1!$D$165</c:f>
              <c:strCache>
                <c:ptCount val="1"/>
                <c:pt idx="0">
                  <c:v>P-Sec</c:v>
                </c:pt>
              </c:strCache>
            </c:strRef>
          </c:tx>
          <c:spPr>
            <a:ln w="19050" cap="rnd">
              <a:solidFill>
                <a:schemeClr val="accent3"/>
              </a:solidFill>
              <a:round/>
            </a:ln>
            <a:effectLst/>
          </c:spPr>
          <c:marker>
            <c:symbol val="none"/>
          </c:marker>
          <c:xVal>
            <c:numRef>
              <c:f>Sheet1!$A$166:$A$171</c:f>
              <c:numCache>
                <c:formatCode>General</c:formatCode>
                <c:ptCount val="6"/>
                <c:pt idx="0">
                  <c:v>1970</c:v>
                </c:pt>
                <c:pt idx="1">
                  <c:v>1980</c:v>
                </c:pt>
                <c:pt idx="2">
                  <c:v>1990</c:v>
                </c:pt>
                <c:pt idx="3">
                  <c:v>2000</c:v>
                </c:pt>
                <c:pt idx="4">
                  <c:v>2010</c:v>
                </c:pt>
                <c:pt idx="5">
                  <c:v>2020</c:v>
                </c:pt>
              </c:numCache>
            </c:numRef>
          </c:xVal>
          <c:yVal>
            <c:numRef>
              <c:f>Sheet1!$D$166:$D$171</c:f>
              <c:numCache>
                <c:formatCode>General</c:formatCode>
                <c:ptCount val="6"/>
                <c:pt idx="0">
                  <c:v>8.7817584531839419</c:v>
                </c:pt>
                <c:pt idx="1">
                  <c:v>2.7648756784943274</c:v>
                </c:pt>
                <c:pt idx="2">
                  <c:v>2.4383944948784264</c:v>
                </c:pt>
                <c:pt idx="3">
                  <c:v>4.3203768881950548</c:v>
                </c:pt>
                <c:pt idx="4">
                  <c:v>3.5092239868093058</c:v>
                </c:pt>
                <c:pt idx="5">
                  <c:v>2.776369047087087</c:v>
                </c:pt>
              </c:numCache>
            </c:numRef>
          </c:yVal>
          <c:smooth val="0"/>
          <c:extLst>
            <c:ext xmlns:c16="http://schemas.microsoft.com/office/drawing/2014/chart" uri="{C3380CC4-5D6E-409C-BE32-E72D297353CC}">
              <c16:uniqueId val="{00000002-768C-4FA5-8A83-B3A2BEDF3DE4}"/>
            </c:ext>
          </c:extLst>
        </c:ser>
        <c:ser>
          <c:idx val="3"/>
          <c:order val="3"/>
          <c:tx>
            <c:strRef>
              <c:f>Sheet1!$E$165</c:f>
              <c:strCache>
                <c:ptCount val="1"/>
                <c:pt idx="0">
                  <c:v>Tertiary</c:v>
                </c:pt>
              </c:strCache>
            </c:strRef>
          </c:tx>
          <c:spPr>
            <a:ln w="19050" cap="rnd">
              <a:solidFill>
                <a:schemeClr val="accent4"/>
              </a:solidFill>
              <a:round/>
            </a:ln>
            <a:effectLst/>
          </c:spPr>
          <c:marker>
            <c:symbol val="none"/>
          </c:marker>
          <c:xVal>
            <c:numRef>
              <c:f>Sheet1!$A$166:$A$171</c:f>
              <c:numCache>
                <c:formatCode>General</c:formatCode>
                <c:ptCount val="6"/>
                <c:pt idx="0">
                  <c:v>1970</c:v>
                </c:pt>
                <c:pt idx="1">
                  <c:v>1980</c:v>
                </c:pt>
                <c:pt idx="2">
                  <c:v>1990</c:v>
                </c:pt>
                <c:pt idx="3">
                  <c:v>2000</c:v>
                </c:pt>
                <c:pt idx="4">
                  <c:v>2010</c:v>
                </c:pt>
                <c:pt idx="5">
                  <c:v>2020</c:v>
                </c:pt>
              </c:numCache>
            </c:numRef>
          </c:xVal>
          <c:yVal>
            <c:numRef>
              <c:f>Sheet1!$E$166:$E$171</c:f>
              <c:numCache>
                <c:formatCode>General</c:formatCode>
                <c:ptCount val="6"/>
                <c:pt idx="0">
                  <c:v>43.542279626706879</c:v>
                </c:pt>
                <c:pt idx="1">
                  <c:v>23.474316742727279</c:v>
                </c:pt>
                <c:pt idx="2">
                  <c:v>41.774017412663312</c:v>
                </c:pt>
                <c:pt idx="3">
                  <c:v>101.21140168526469</c:v>
                </c:pt>
                <c:pt idx="4">
                  <c:v>56.64399834387963</c:v>
                </c:pt>
                <c:pt idx="5">
                  <c:v>28.710327275063694</c:v>
                </c:pt>
              </c:numCache>
            </c:numRef>
          </c:yVal>
          <c:smooth val="0"/>
          <c:extLst>
            <c:ext xmlns:c16="http://schemas.microsoft.com/office/drawing/2014/chart" uri="{C3380CC4-5D6E-409C-BE32-E72D297353CC}">
              <c16:uniqueId val="{00000003-768C-4FA5-8A83-B3A2BEDF3DE4}"/>
            </c:ext>
          </c:extLst>
        </c:ser>
        <c:dLbls>
          <c:showLegendKey val="0"/>
          <c:showVal val="0"/>
          <c:showCatName val="0"/>
          <c:showSerName val="0"/>
          <c:showPercent val="0"/>
          <c:showBubbleSize val="0"/>
        </c:dLbls>
        <c:axId val="700136560"/>
        <c:axId val="579503808"/>
      </c:scatterChart>
      <c:valAx>
        <c:axId val="700136560"/>
        <c:scaling>
          <c:orientation val="minMax"/>
          <c:max val="2020"/>
          <c:min val="19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79503808"/>
        <c:crosses val="autoZero"/>
        <c:crossBetween val="midCat"/>
      </c:valAx>
      <c:valAx>
        <c:axId val="579503808"/>
        <c:scaling>
          <c:orientation val="minMax"/>
          <c:max val="1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solidFill>
                      <a:schemeClr val="tx1"/>
                    </a:solidFill>
                    <a:latin typeface="Arial" panose="020B0604020202020204" pitchFamily="34" charset="0"/>
                    <a:cs typeface="Arial" panose="020B0604020202020204" pitchFamily="34" charset="0"/>
                  </a:rPr>
                  <a:t>Economic Support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00136560"/>
        <c:crossesAt val="1960"/>
        <c:crossBetween val="midCat"/>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SG"/>
              <a:t>Figure 9: Age and Education Contribution over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Summaries!$D$27</c:f>
              <c:strCache>
                <c:ptCount val="1"/>
                <c:pt idx="0">
                  <c:v>Age Effect</c:v>
                </c:pt>
              </c:strCache>
            </c:strRef>
          </c:tx>
          <c:spPr>
            <a:ln w="19050" cap="rnd">
              <a:solidFill>
                <a:schemeClr val="accent1"/>
              </a:solidFill>
              <a:round/>
            </a:ln>
            <a:effectLst/>
          </c:spPr>
          <c:marker>
            <c:symbol val="none"/>
          </c:marker>
          <c:cat>
            <c:numRef>
              <c:f>Summaries!$C$28:$C$32</c:f>
              <c:numCache>
                <c:formatCode>General</c:formatCode>
                <c:ptCount val="5"/>
                <c:pt idx="0">
                  <c:v>1980</c:v>
                </c:pt>
                <c:pt idx="1">
                  <c:v>1990</c:v>
                </c:pt>
                <c:pt idx="2">
                  <c:v>2000</c:v>
                </c:pt>
                <c:pt idx="3">
                  <c:v>2010</c:v>
                </c:pt>
                <c:pt idx="4">
                  <c:v>2020</c:v>
                </c:pt>
              </c:numCache>
            </c:numRef>
          </c:cat>
          <c:val>
            <c:numRef>
              <c:f>Summaries!$D$28:$D$32</c:f>
              <c:numCache>
                <c:formatCode>General</c:formatCode>
                <c:ptCount val="5"/>
                <c:pt idx="0">
                  <c:v>0.45981925409345281</c:v>
                </c:pt>
                <c:pt idx="1">
                  <c:v>0.48522424945779385</c:v>
                </c:pt>
                <c:pt idx="2">
                  <c:v>0.39238230063841589</c:v>
                </c:pt>
                <c:pt idx="3">
                  <c:v>0.45040391347272718</c:v>
                </c:pt>
                <c:pt idx="4">
                  <c:v>0.45234577245966706</c:v>
                </c:pt>
              </c:numCache>
            </c:numRef>
          </c:val>
          <c:smooth val="0"/>
          <c:extLst>
            <c:ext xmlns:c16="http://schemas.microsoft.com/office/drawing/2014/chart" uri="{C3380CC4-5D6E-409C-BE32-E72D297353CC}">
              <c16:uniqueId val="{00000000-63BD-4547-AAE0-7332D96EDDFE}"/>
            </c:ext>
          </c:extLst>
        </c:ser>
        <c:ser>
          <c:idx val="1"/>
          <c:order val="1"/>
          <c:tx>
            <c:strRef>
              <c:f>Summaries!$E$27</c:f>
              <c:strCache>
                <c:ptCount val="1"/>
                <c:pt idx="0">
                  <c:v>Education Effect</c:v>
                </c:pt>
              </c:strCache>
            </c:strRef>
          </c:tx>
          <c:spPr>
            <a:ln w="19050" cap="rnd">
              <a:solidFill>
                <a:schemeClr val="accent2"/>
              </a:solidFill>
              <a:round/>
            </a:ln>
            <a:effectLst/>
          </c:spPr>
          <c:marker>
            <c:symbol val="none"/>
          </c:marker>
          <c:cat>
            <c:numRef>
              <c:f>Summaries!$C$28:$C$32</c:f>
              <c:numCache>
                <c:formatCode>General</c:formatCode>
                <c:ptCount val="5"/>
                <c:pt idx="0">
                  <c:v>1980</c:v>
                </c:pt>
                <c:pt idx="1">
                  <c:v>1990</c:v>
                </c:pt>
                <c:pt idx="2">
                  <c:v>2000</c:v>
                </c:pt>
                <c:pt idx="3">
                  <c:v>2010</c:v>
                </c:pt>
                <c:pt idx="4">
                  <c:v>2020</c:v>
                </c:pt>
              </c:numCache>
            </c:numRef>
          </c:cat>
          <c:val>
            <c:numRef>
              <c:f>Summaries!$E$28:$E$32</c:f>
              <c:numCache>
                <c:formatCode>General</c:formatCode>
                <c:ptCount val="5"/>
                <c:pt idx="0">
                  <c:v>0.54018074590654708</c:v>
                </c:pt>
                <c:pt idx="1">
                  <c:v>0.51477575054220626</c:v>
                </c:pt>
                <c:pt idx="2">
                  <c:v>0.60761769936158416</c:v>
                </c:pt>
                <c:pt idx="3">
                  <c:v>0.54959608652727276</c:v>
                </c:pt>
                <c:pt idx="4">
                  <c:v>0.54765422754033288</c:v>
                </c:pt>
              </c:numCache>
            </c:numRef>
          </c:val>
          <c:smooth val="0"/>
          <c:extLst>
            <c:ext xmlns:c16="http://schemas.microsoft.com/office/drawing/2014/chart" uri="{C3380CC4-5D6E-409C-BE32-E72D297353CC}">
              <c16:uniqueId val="{00000001-63BD-4547-AAE0-7332D96EDDFE}"/>
            </c:ext>
          </c:extLst>
        </c:ser>
        <c:dLbls>
          <c:showLegendKey val="0"/>
          <c:showVal val="0"/>
          <c:showCatName val="0"/>
          <c:showSerName val="0"/>
          <c:showPercent val="0"/>
          <c:showBubbleSize val="0"/>
        </c:dLbls>
        <c:smooth val="0"/>
        <c:axId val="155666112"/>
        <c:axId val="2110608640"/>
      </c:lineChart>
      <c:catAx>
        <c:axId val="15566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110608640"/>
        <c:crosses val="autoZero"/>
        <c:auto val="1"/>
        <c:lblAlgn val="ctr"/>
        <c:lblOffset val="100"/>
        <c:noMultiLvlLbl val="1"/>
      </c:catAx>
      <c:valAx>
        <c:axId val="211060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Contribution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566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SG"/>
              <a:t>Figure</a:t>
            </a:r>
            <a:r>
              <a:rPr lang="en-SG" baseline="0"/>
              <a:t> 10: </a:t>
            </a:r>
            <a:r>
              <a:rPr lang="en-SG"/>
              <a:t>Contribution of Different HQA to Education Effect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Sheet1!$C$199</c:f>
              <c:strCache>
                <c:ptCount val="1"/>
                <c:pt idx="0">
                  <c:v>Pri</c:v>
                </c:pt>
              </c:strCache>
            </c:strRef>
          </c:tx>
          <c:spPr>
            <a:ln w="28575" cap="rnd">
              <a:solidFill>
                <a:schemeClr val="accent1"/>
              </a:solidFill>
              <a:round/>
            </a:ln>
            <a:effectLst/>
          </c:spPr>
          <c:marker>
            <c:symbol val="none"/>
          </c:marker>
          <c:cat>
            <c:numRef>
              <c:f>Sheet1!$B$200:$B$204</c:f>
              <c:numCache>
                <c:formatCode>General</c:formatCode>
                <c:ptCount val="5"/>
                <c:pt idx="0">
                  <c:v>1980</c:v>
                </c:pt>
                <c:pt idx="1">
                  <c:v>1990</c:v>
                </c:pt>
                <c:pt idx="2">
                  <c:v>2000</c:v>
                </c:pt>
                <c:pt idx="3">
                  <c:v>2010</c:v>
                </c:pt>
                <c:pt idx="4">
                  <c:v>2020</c:v>
                </c:pt>
              </c:numCache>
            </c:numRef>
          </c:cat>
          <c:val>
            <c:numRef>
              <c:f>Sheet1!$C$200:$C$204</c:f>
              <c:numCache>
                <c:formatCode>0.00%</c:formatCode>
                <c:ptCount val="5"/>
                <c:pt idx="0">
                  <c:v>0.28389747102491913</c:v>
                </c:pt>
                <c:pt idx="1">
                  <c:v>0.11984675644273131</c:v>
                </c:pt>
                <c:pt idx="2">
                  <c:v>1.796178673025163E-2</c:v>
                </c:pt>
                <c:pt idx="3">
                  <c:v>4.4739337949004053E-3</c:v>
                </c:pt>
                <c:pt idx="4">
                  <c:v>2.1117823485425373E-3</c:v>
                </c:pt>
              </c:numCache>
            </c:numRef>
          </c:val>
          <c:smooth val="0"/>
          <c:extLst>
            <c:ext xmlns:c16="http://schemas.microsoft.com/office/drawing/2014/chart" uri="{C3380CC4-5D6E-409C-BE32-E72D297353CC}">
              <c16:uniqueId val="{00000000-1121-4E6E-9B14-8D9BB31818B7}"/>
            </c:ext>
          </c:extLst>
        </c:ser>
        <c:ser>
          <c:idx val="1"/>
          <c:order val="1"/>
          <c:tx>
            <c:strRef>
              <c:f>Sheet1!$D$199</c:f>
              <c:strCache>
                <c:ptCount val="1"/>
                <c:pt idx="0">
                  <c:v>Sec</c:v>
                </c:pt>
              </c:strCache>
            </c:strRef>
          </c:tx>
          <c:spPr>
            <a:ln w="28575" cap="rnd">
              <a:solidFill>
                <a:schemeClr val="accent2"/>
              </a:solidFill>
              <a:round/>
            </a:ln>
            <a:effectLst/>
          </c:spPr>
          <c:marker>
            <c:symbol val="none"/>
          </c:marker>
          <c:cat>
            <c:numRef>
              <c:f>Sheet1!$B$200:$B$204</c:f>
              <c:numCache>
                <c:formatCode>General</c:formatCode>
                <c:ptCount val="5"/>
                <c:pt idx="0">
                  <c:v>1980</c:v>
                </c:pt>
                <c:pt idx="1">
                  <c:v>1990</c:v>
                </c:pt>
                <c:pt idx="2">
                  <c:v>2000</c:v>
                </c:pt>
                <c:pt idx="3">
                  <c:v>2010</c:v>
                </c:pt>
                <c:pt idx="4">
                  <c:v>2020</c:v>
                </c:pt>
              </c:numCache>
            </c:numRef>
          </c:cat>
          <c:val>
            <c:numRef>
              <c:f>Sheet1!$D$200:$D$204</c:f>
              <c:numCache>
                <c:formatCode>0.00%</c:formatCode>
                <c:ptCount val="5"/>
                <c:pt idx="0">
                  <c:v>7.8759726776564148E-2</c:v>
                </c:pt>
                <c:pt idx="1">
                  <c:v>0.17213615441296184</c:v>
                </c:pt>
                <c:pt idx="2">
                  <c:v>0.15288671091825431</c:v>
                </c:pt>
                <c:pt idx="3">
                  <c:v>3.4507225557356025E-2</c:v>
                </c:pt>
                <c:pt idx="4">
                  <c:v>2.1649468833057288E-2</c:v>
                </c:pt>
              </c:numCache>
            </c:numRef>
          </c:val>
          <c:smooth val="0"/>
          <c:extLst>
            <c:ext xmlns:c16="http://schemas.microsoft.com/office/drawing/2014/chart" uri="{C3380CC4-5D6E-409C-BE32-E72D297353CC}">
              <c16:uniqueId val="{00000001-1121-4E6E-9B14-8D9BB31818B7}"/>
            </c:ext>
          </c:extLst>
        </c:ser>
        <c:ser>
          <c:idx val="2"/>
          <c:order val="2"/>
          <c:tx>
            <c:strRef>
              <c:f>Sheet1!$E$199</c:f>
              <c:strCache>
                <c:ptCount val="1"/>
                <c:pt idx="0">
                  <c:v>P-Sec</c:v>
                </c:pt>
              </c:strCache>
            </c:strRef>
          </c:tx>
          <c:spPr>
            <a:ln w="28575" cap="rnd">
              <a:solidFill>
                <a:schemeClr val="accent3"/>
              </a:solidFill>
              <a:round/>
            </a:ln>
            <a:effectLst/>
          </c:spPr>
          <c:marker>
            <c:symbol val="none"/>
          </c:marker>
          <c:cat>
            <c:numRef>
              <c:f>Sheet1!$B$200:$B$204</c:f>
              <c:numCache>
                <c:formatCode>General</c:formatCode>
                <c:ptCount val="5"/>
                <c:pt idx="0">
                  <c:v>1980</c:v>
                </c:pt>
                <c:pt idx="1">
                  <c:v>1990</c:v>
                </c:pt>
                <c:pt idx="2">
                  <c:v>2000</c:v>
                </c:pt>
                <c:pt idx="3">
                  <c:v>2010</c:v>
                </c:pt>
                <c:pt idx="4">
                  <c:v>2020</c:v>
                </c:pt>
              </c:numCache>
            </c:numRef>
          </c:cat>
          <c:val>
            <c:numRef>
              <c:f>Sheet1!$E$200:$E$204</c:f>
              <c:numCache>
                <c:formatCode>0.00%</c:formatCode>
                <c:ptCount val="5"/>
                <c:pt idx="0">
                  <c:v>0.19264727690501185</c:v>
                </c:pt>
                <c:pt idx="1">
                  <c:v>0.1129312963492094</c:v>
                </c:pt>
                <c:pt idx="2">
                  <c:v>6.5765023146346149E-2</c:v>
                </c:pt>
                <c:pt idx="3">
                  <c:v>5.4663113544454064E-2</c:v>
                </c:pt>
                <c:pt idx="4">
                  <c:v>6.0683146501566566E-2</c:v>
                </c:pt>
              </c:numCache>
            </c:numRef>
          </c:val>
          <c:smooth val="0"/>
          <c:extLst>
            <c:ext xmlns:c16="http://schemas.microsoft.com/office/drawing/2014/chart" uri="{C3380CC4-5D6E-409C-BE32-E72D297353CC}">
              <c16:uniqueId val="{00000002-1121-4E6E-9B14-8D9BB31818B7}"/>
            </c:ext>
          </c:extLst>
        </c:ser>
        <c:ser>
          <c:idx val="3"/>
          <c:order val="3"/>
          <c:tx>
            <c:strRef>
              <c:f>Sheet1!$F$199</c:f>
              <c:strCache>
                <c:ptCount val="1"/>
                <c:pt idx="0">
                  <c:v>Tert</c:v>
                </c:pt>
              </c:strCache>
            </c:strRef>
          </c:tx>
          <c:spPr>
            <a:ln w="28575" cap="rnd">
              <a:solidFill>
                <a:schemeClr val="accent4"/>
              </a:solidFill>
              <a:round/>
            </a:ln>
            <a:effectLst/>
          </c:spPr>
          <c:marker>
            <c:symbol val="none"/>
          </c:marker>
          <c:cat>
            <c:numRef>
              <c:f>Sheet1!$B$200:$B$204</c:f>
              <c:numCache>
                <c:formatCode>General</c:formatCode>
                <c:ptCount val="5"/>
                <c:pt idx="0">
                  <c:v>1980</c:v>
                </c:pt>
                <c:pt idx="1">
                  <c:v>1990</c:v>
                </c:pt>
                <c:pt idx="2">
                  <c:v>2000</c:v>
                </c:pt>
                <c:pt idx="3">
                  <c:v>2010</c:v>
                </c:pt>
                <c:pt idx="4">
                  <c:v>2020</c:v>
                </c:pt>
              </c:numCache>
            </c:numRef>
          </c:cat>
          <c:val>
            <c:numRef>
              <c:f>Sheet1!$F$200:$F$204</c:f>
              <c:numCache>
                <c:formatCode>0.00%</c:formatCode>
                <c:ptCount val="5"/>
                <c:pt idx="0">
                  <c:v>0.44469552529350503</c:v>
                </c:pt>
                <c:pt idx="1">
                  <c:v>0.59508579279509766</c:v>
                </c:pt>
                <c:pt idx="2">
                  <c:v>0.76338647920514791</c:v>
                </c:pt>
                <c:pt idx="3">
                  <c:v>0.90635572710328949</c:v>
                </c:pt>
                <c:pt idx="4">
                  <c:v>0.91555560231683364</c:v>
                </c:pt>
              </c:numCache>
            </c:numRef>
          </c:val>
          <c:smooth val="0"/>
          <c:extLst>
            <c:ext xmlns:c16="http://schemas.microsoft.com/office/drawing/2014/chart" uri="{C3380CC4-5D6E-409C-BE32-E72D297353CC}">
              <c16:uniqueId val="{00000003-1121-4E6E-9B14-8D9BB31818B7}"/>
            </c:ext>
          </c:extLst>
        </c:ser>
        <c:dLbls>
          <c:showLegendKey val="0"/>
          <c:showVal val="0"/>
          <c:showCatName val="0"/>
          <c:showSerName val="0"/>
          <c:showPercent val="0"/>
          <c:showBubbleSize val="0"/>
        </c:dLbls>
        <c:smooth val="0"/>
        <c:axId val="739521744"/>
        <c:axId val="847370992"/>
      </c:lineChart>
      <c:catAx>
        <c:axId val="73952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47370992"/>
        <c:crosses val="autoZero"/>
        <c:auto val="1"/>
        <c:lblAlgn val="ctr"/>
        <c:lblOffset val="100"/>
        <c:noMultiLvlLbl val="0"/>
      </c:catAx>
      <c:valAx>
        <c:axId val="847370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SG"/>
                  <a:t>Contribution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3952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5046-19FF-4F3A-895A-5760F030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9035</Words>
  <Characters>51500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60415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Zhuen, Leonard</dc:creator>
  <cp:lastModifiedBy>Eddie Shiqin Choo</cp:lastModifiedBy>
  <cp:revision>5</cp:revision>
  <cp:lastPrinted>2023-01-27T09:28:00Z</cp:lastPrinted>
  <dcterms:created xsi:type="dcterms:W3CDTF">2023-01-30T03:39:00Z</dcterms:created>
  <dcterms:modified xsi:type="dcterms:W3CDTF">2023-01-30T05:44:00Z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id="wAqhBRNt"/&gt;&lt;style id="http://www.zotero.org/styles/apa" locale="en-US" hasBibliography="1" bibliographyStyleHasBeenSet="1"/&gt;&lt;prefs&gt;&lt;pref name="fieldType" value="Field"/&gt;&lt;/prefs&gt;&lt;/data&gt;</vt:lpwstr>
  </property>
</Properties>
</file>